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default"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8441"/>
      <w:bookmarkStart w:id="2" w:name="_Toc15377425"/>
      <w:bookmarkStart w:id="3" w:name="_Toc15396597"/>
      <w:bookmarkStart w:id="4" w:name="_Toc15377193"/>
      <w:bookmarkStart w:id="5" w:name="_Toc15396475"/>
      <w:r>
        <w:rPr>
          <w:rFonts w:hint="eastAsia" w:ascii="Times New Roman" w:eastAsia="方正小标宋简体" w:cs="Times New Roman"/>
          <w:color w:val="auto"/>
          <w:kern w:val="2"/>
          <w:sz w:val="72"/>
          <w:szCs w:val="72"/>
          <w:highlight w:val="none"/>
          <w:lang w:val="en-US" w:eastAsia="zh-CN" w:bidi="ar-SA"/>
        </w:rPr>
        <w:t xml:space="preserve"> </w:t>
      </w:r>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rPr>
          <w:rFonts w:hint="eastAsia" w:ascii="Times New Roman" w:hAnsi="Times New Roman" w:eastAsia="方正小标宋简体" w:cs="Times New Roman"/>
          <w:color w:val="auto"/>
          <w:kern w:val="2"/>
          <w:sz w:val="72"/>
          <w:szCs w:val="72"/>
          <w:highlight w:val="none"/>
          <w:lang w:val="en-US" w:eastAsia="zh-CN" w:bidi="ar-SA"/>
        </w:rPr>
      </w:pPr>
    </w:p>
    <w:p>
      <w:pPr>
        <w:pStyle w:val="9"/>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pPr>
        <w:pStyle w:val="9"/>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革命伤残军人休养院</w:t>
      </w:r>
    </w:p>
    <w:p>
      <w:pPr>
        <w:pStyle w:val="9"/>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18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bookmarkStart w:id="6" w:name="_Toc15377196"/>
      <w:bookmarkStart w:id="7" w:name="_Toc15396599"/>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ascii="宋体" w:hAnsi="宋体"/>
          <w:sz w:val="24"/>
        </w:rPr>
        <w:tab/>
      </w:r>
      <w:r>
        <w:rPr>
          <w:rFonts w:hint="eastAsia" w:ascii="宋体" w:hAnsi="宋体"/>
          <w:sz w:val="24"/>
          <w:lang w:val="en-US" w:eastAsia="zh-CN"/>
        </w:rPr>
        <w:t>1</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ascii="宋体" w:hAnsi="宋体"/>
          <w:sz w:val="24"/>
        </w:rPr>
        <w:tab/>
      </w:r>
      <w:r>
        <w:rPr>
          <w:rFonts w:hint="eastAsia" w:ascii="宋体" w:hAnsi="宋体"/>
          <w:sz w:val="24"/>
          <w:lang w:val="en-US" w:eastAsia="zh-CN"/>
        </w:rPr>
        <w:t>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ascii="宋体" w:hAnsi="宋体"/>
          <w:sz w:val="24"/>
        </w:rPr>
        <w:tab/>
      </w:r>
      <w:r>
        <w:rPr>
          <w:rFonts w:hint="eastAsia" w:ascii="宋体" w:hAnsi="宋体"/>
          <w:sz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ascii="宋体" w:hAnsi="宋体"/>
          <w:sz w:val="24"/>
        </w:rPr>
        <w:tab/>
      </w:r>
      <w:r>
        <w:rPr>
          <w:rFonts w:hint="eastAsia" w:ascii="宋体" w:hAnsi="宋体"/>
          <w:sz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ascii="宋体" w:hAnsi="宋体"/>
          <w:sz w:val="24"/>
        </w:rPr>
        <w:tab/>
      </w:r>
      <w:r>
        <w:rPr>
          <w:rFonts w:hint="eastAsia" w:ascii="宋体" w:hAnsi="宋体"/>
          <w:sz w:val="24"/>
          <w:lang w:val="en-US" w:eastAsia="zh-CN"/>
        </w:rPr>
        <w:t>3</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ascii="宋体" w:hAnsi="宋体"/>
          <w:sz w:val="24"/>
        </w:rPr>
        <w:tab/>
      </w:r>
      <w:r>
        <w:rPr>
          <w:rFonts w:hint="eastAsia" w:ascii="宋体" w:hAnsi="宋体"/>
          <w:sz w:val="24"/>
          <w:lang w:val="en-US" w:eastAsia="zh-CN"/>
        </w:rPr>
        <w:t>4</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ascii="宋体" w:hAnsi="宋体"/>
          <w:sz w:val="24"/>
        </w:rPr>
        <w:tab/>
      </w:r>
      <w:r>
        <w:rPr>
          <w:rFonts w:hint="eastAsia" w:ascii="宋体" w:hAnsi="宋体"/>
          <w:sz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ascii="宋体" w:hAnsi="宋体"/>
          <w:sz w:val="24"/>
        </w:rPr>
        <w:tab/>
      </w:r>
      <w:r>
        <w:rPr>
          <w:rFonts w:hint="eastAsia" w:ascii="宋体" w:hAnsi="宋体"/>
          <w:sz w:val="24"/>
          <w:lang w:val="en-US" w:eastAsia="zh-CN"/>
        </w:rPr>
        <w:t>5</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ascii="宋体" w:hAnsi="宋体"/>
          <w:sz w:val="24"/>
        </w:rPr>
        <w:tab/>
      </w:r>
      <w:r>
        <w:rPr>
          <w:rFonts w:hint="eastAsia" w:ascii="宋体" w:hAnsi="宋体"/>
          <w:sz w:val="24"/>
          <w:lang w:val="en-US" w:eastAsia="zh-CN"/>
        </w:rPr>
        <w:t>8</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ascii="宋体" w:hAnsi="宋体"/>
          <w:sz w:val="24"/>
        </w:rPr>
        <w:tab/>
      </w:r>
      <w:r>
        <w:rPr>
          <w:rFonts w:hint="eastAsia" w:ascii="宋体" w:hAnsi="宋体"/>
          <w:sz w:val="24"/>
          <w:lang w:val="en-US" w:eastAsia="zh-CN"/>
        </w:rPr>
        <w:t>9</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ascii="宋体" w:hAnsi="宋体"/>
          <w:sz w:val="24"/>
        </w:rPr>
        <w:tab/>
      </w:r>
      <w:r>
        <w:rPr>
          <w:rFonts w:hint="eastAsia" w:ascii="宋体" w:hAnsi="宋体"/>
          <w:sz w:val="24"/>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ascii="宋体" w:hAnsi="宋体"/>
          <w:sz w:val="24"/>
        </w:rPr>
        <w:tab/>
      </w:r>
      <w:r>
        <w:rPr>
          <w:rFonts w:hint="eastAsia" w:ascii="宋体" w:hAnsi="宋体"/>
          <w:sz w:val="24"/>
          <w:lang w:val="en-US" w:eastAsia="zh-CN"/>
        </w:rPr>
        <w:t>10</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ascii="宋体" w:hAnsi="宋体"/>
          <w:sz w:val="24"/>
        </w:rPr>
        <w:tab/>
      </w:r>
      <w:r>
        <w:rPr>
          <w:rFonts w:hint="eastAsia" w:ascii="宋体" w:hAnsi="宋体"/>
          <w:sz w:val="24"/>
          <w:lang w:val="en-US" w:eastAsia="zh-CN"/>
        </w:rPr>
        <w:t>10</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宋体" w:hAnsi="宋体"/>
          <w:sz w:val="24"/>
          <w:lang w:val="en-US" w:eastAsia="zh-CN"/>
        </w:rPr>
      </w:pPr>
      <w:r>
        <w:rPr>
          <w:rFonts w:hint="eastAsia" w:ascii="Times New Roman" w:hAnsi="Times New Roman" w:eastAsia="黑体" w:cs="黑体"/>
          <w:color w:val="auto"/>
          <w:sz w:val="32"/>
          <w:szCs w:val="32"/>
          <w:highlight w:val="none"/>
        </w:rPr>
        <w:t>第三部分 名词解释</w:t>
      </w:r>
      <w:r>
        <w:rPr>
          <w:rFonts w:ascii="宋体" w:hAnsi="宋体"/>
          <w:sz w:val="24"/>
        </w:rPr>
        <w:tab/>
      </w:r>
      <w:r>
        <w:rPr>
          <w:rFonts w:hint="eastAsia" w:ascii="宋体" w:hAnsi="宋体"/>
          <w:sz w:val="24"/>
          <w:lang w:val="en-US" w:eastAsia="zh-CN"/>
        </w:rPr>
        <w:t>13</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ascii="宋体" w:hAnsi="宋体"/>
          <w:sz w:val="24"/>
        </w:rPr>
        <w:tab/>
      </w:r>
      <w:r>
        <w:rPr>
          <w:rFonts w:hint="eastAsia" w:ascii="宋体" w:hAnsi="宋体"/>
          <w:sz w:val="24"/>
          <w:lang w:val="en-US" w:eastAsia="zh-CN"/>
        </w:rPr>
        <w:t>17</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sectPr>
          <w:footerReference r:id="rId5" w:type="default"/>
          <w:pgSz w:w="11906" w:h="16838"/>
          <w:pgMar w:top="1440" w:right="1800" w:bottom="1440" w:left="1800" w:header="851" w:footer="992" w:gutter="0"/>
          <w:pgNumType w:fmt="numberInDash" w:start="1"/>
          <w:cols w:space="425" w:num="1"/>
          <w:docGrid w:type="lines" w:linePitch="312" w:charSpace="0"/>
        </w:sectPr>
      </w:pP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ascii="宋体" w:hAnsi="宋体"/>
          <w:sz w:val="24"/>
        </w:rPr>
        <w:tab/>
      </w:r>
      <w:r>
        <w:rPr>
          <w:rFonts w:hint="eastAsia" w:ascii="宋体" w:hAnsi="宋体"/>
          <w:sz w:val="24"/>
          <w:lang w:val="en-US" w:eastAsia="zh-CN"/>
        </w:rPr>
        <w:t>37</w:t>
      </w:r>
    </w:p>
    <w:p>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ascii="宋体" w:hAnsi="宋体"/>
          <w:sz w:val="24"/>
        </w:rPr>
        <w:tab/>
      </w:r>
      <w:r>
        <w:rPr>
          <w:rFonts w:hint="eastAsia" w:ascii="宋体" w:hAnsi="宋体"/>
          <w:sz w:val="24"/>
          <w:lang w:val="en-US" w:eastAsia="zh-CN"/>
        </w:rPr>
        <w:t>37</w:t>
      </w:r>
    </w:p>
    <w:p>
      <w:pPr>
        <w:pStyle w:val="5"/>
        <w:jc w:val="center"/>
        <w:rPr>
          <w:rFonts w:hint="eastAsia" w:ascii="Times New Roman" w:hAnsi="Times New Roman" w:eastAsia="方正小标宋简体" w:cs="方正小标宋简体"/>
          <w:b w:val="0"/>
          <w:color w:val="auto"/>
          <w:highlight w:val="none"/>
        </w:rPr>
        <w:sectPr>
          <w:footerReference r:id="rId6" w:type="default"/>
          <w:pgSz w:w="11906" w:h="16838"/>
          <w:pgMar w:top="1440" w:right="1800" w:bottom="1440" w:left="1800" w:header="851" w:footer="992" w:gutter="0"/>
          <w:pgNumType w:fmt="numberInDash" w:start="1"/>
          <w:cols w:space="425" w:num="1"/>
          <w:docGrid w:type="lines" w:linePitch="312" w:charSpace="0"/>
        </w:sectPr>
      </w:pPr>
    </w:p>
    <w:p>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val="en-US" w:eastAsia="zh-CN"/>
        </w:rPr>
        <w:t>单位</w:t>
      </w:r>
      <w:r>
        <w:rPr>
          <w:rStyle w:val="29"/>
          <w:rFonts w:hint="eastAsia" w:ascii="Times New Roman" w:hAnsi="Times New Roman" w:eastAsia="方正小标宋简体" w:cs="方正小标宋简体"/>
          <w:b w:val="0"/>
          <w:bCs w:val="0"/>
          <w:color w:val="auto"/>
          <w:highlight w:val="none"/>
        </w:rPr>
        <w:t>概况</w:t>
      </w:r>
      <w:bookmarkEnd w:id="6"/>
      <w:bookmarkEnd w:id="7"/>
    </w:p>
    <w:p>
      <w:pPr>
        <w:widowControl/>
        <w:jc w:val="left"/>
        <w:rPr>
          <w:rFonts w:ascii="Times New Roman" w:hAnsi="Times New Roman" w:eastAsia="黑体"/>
          <w:color w:val="auto"/>
          <w:sz w:val="32"/>
          <w:szCs w:val="32"/>
          <w:highlight w:val="none"/>
        </w:rPr>
      </w:pPr>
    </w:p>
    <w:p>
      <w:pPr>
        <w:pStyle w:val="6"/>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p>
    <w:p>
      <w:pPr>
        <w:pStyle w:val="9"/>
        <w:adjustRightInd w:val="0"/>
        <w:spacing w:before="93" w:line="600" w:lineRule="exact"/>
        <w:ind w:firstLine="640" w:firstLineChars="200"/>
        <w:rPr>
          <w:rFonts w:ascii="仿宋" w:hAnsi="仿宋" w:eastAsia="仿宋"/>
          <w:kern w:val="2"/>
          <w:sz w:val="32"/>
          <w:szCs w:val="32"/>
        </w:rPr>
      </w:pPr>
      <w:r>
        <w:rPr>
          <w:rFonts w:ascii="仿宋" w:hAnsi="仿宋" w:eastAsia="仿宋"/>
          <w:kern w:val="2"/>
          <w:sz w:val="32"/>
          <w:szCs w:val="32"/>
        </w:rPr>
        <w:t>四川省革命伤残军人休养院隶属于四川省退役军人事务厅，为正处级公益二类事业单位，加挂“四川省第一退役军人医院”</w:t>
      </w:r>
      <w:r>
        <w:rPr>
          <w:rFonts w:hint="eastAsia" w:ascii="仿宋" w:hAnsi="仿宋" w:eastAsia="仿宋"/>
          <w:kern w:val="2"/>
          <w:sz w:val="32"/>
          <w:szCs w:val="32"/>
          <w:lang w:val="en-US" w:eastAsia="zh-CN"/>
        </w:rPr>
        <w:t>和“四川省第一荣军优抚医院”</w:t>
      </w:r>
      <w:r>
        <w:rPr>
          <w:rFonts w:ascii="仿宋" w:hAnsi="仿宋" w:eastAsia="仿宋"/>
          <w:kern w:val="2"/>
          <w:sz w:val="32"/>
          <w:szCs w:val="32"/>
        </w:rPr>
        <w:t>牌子。主要职责是：</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（一）接收全省各个战争时期及国防建设中负伤、因病致残不便分散安置的一至四级残疾军人，承担入院集中供养残疾军人的医疗、康复、休养工作；</w:t>
      </w:r>
    </w:p>
    <w:p>
      <w:pPr>
        <w:pStyle w:val="9"/>
        <w:adjustRightInd w:val="0"/>
        <w:spacing w:before="93" w:line="600" w:lineRule="exact"/>
        <w:ind w:firstLine="320" w:firstLineChars="100"/>
        <w:rPr>
          <w:rFonts w:ascii="仿宋" w:hAnsi="仿宋" w:eastAsia="仿宋"/>
          <w:kern w:val="2"/>
          <w:sz w:val="32"/>
          <w:szCs w:val="32"/>
        </w:rPr>
      </w:pPr>
      <w:r>
        <w:rPr>
          <w:rFonts w:ascii="仿宋" w:hAnsi="仿宋" w:eastAsia="仿宋"/>
          <w:kern w:val="2"/>
          <w:sz w:val="32"/>
          <w:szCs w:val="32"/>
        </w:rPr>
        <w:t xml:space="preserve"> （二）承担全省残疾军人的假肢辅具配置工作；</w:t>
      </w:r>
    </w:p>
    <w:p>
      <w:pPr>
        <w:pStyle w:val="9"/>
        <w:adjustRightInd w:val="0"/>
        <w:spacing w:before="93" w:line="600" w:lineRule="exact"/>
        <w:ind w:firstLine="320" w:firstLineChars="100"/>
        <w:rPr>
          <w:rFonts w:ascii="仿宋" w:hAnsi="仿宋" w:eastAsia="仿宋"/>
          <w:kern w:val="2"/>
          <w:sz w:val="32"/>
          <w:szCs w:val="32"/>
        </w:rPr>
      </w:pPr>
      <w:r>
        <w:rPr>
          <w:rFonts w:ascii="仿宋" w:hAnsi="仿宋" w:eastAsia="仿宋"/>
          <w:kern w:val="2"/>
          <w:sz w:val="32"/>
          <w:szCs w:val="32"/>
        </w:rPr>
        <w:t xml:space="preserve"> （三）面向全省退役军人及其他优抚对象、社会群众提供医疗、康复、健康管理服务，承担预防保健和主要慢性非传染性疾病的防治工作，同时牵头落实全省退役军人健康服务体系建设；</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（四）开展全省重点优抚对象巡回医疗服务；</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（五）承担重大活动医疗保障任务、突发性公共卫生事件的医疗卫生救助；</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（六）面向全省退役军人及其他优抚对象、社会群众提供医养融合、示训服务；</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（七）承担政府部门批准的范围开展对外技术交流；</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（八）承担大专院校专业技术人才教学、实习、实训工作；</w:t>
      </w:r>
    </w:p>
    <w:p>
      <w:pPr>
        <w:pStyle w:val="9"/>
        <w:adjustRightInd w:val="0"/>
        <w:spacing w:before="93" w:line="600" w:lineRule="exact"/>
        <w:ind w:firstLine="480" w:firstLineChars="150"/>
        <w:rPr>
          <w:rFonts w:ascii="仿宋" w:hAnsi="仿宋" w:eastAsia="仿宋"/>
          <w:kern w:val="2"/>
          <w:sz w:val="32"/>
          <w:szCs w:val="32"/>
        </w:rPr>
      </w:pPr>
      <w:r>
        <w:rPr>
          <w:rFonts w:ascii="仿宋" w:hAnsi="仿宋" w:eastAsia="仿宋"/>
          <w:kern w:val="2"/>
          <w:sz w:val="32"/>
          <w:szCs w:val="32"/>
        </w:rPr>
        <w:t>（九）以不同方式开展临床医学、基础医学、优抚医疗健康服务相关领域课题研究；</w:t>
      </w:r>
    </w:p>
    <w:p>
      <w:pPr>
        <w:numPr>
          <w:ilvl w:val="0"/>
          <w:numId w:val="0"/>
        </w:numPr>
        <w:ind w:left="0" w:leftChars="0" w:firstLine="480" w:firstLineChars="0"/>
        <w:rPr>
          <w:rFonts w:hint="eastAsia"/>
          <w:lang w:eastAsia="zh-CN"/>
        </w:rPr>
      </w:pPr>
      <w:r>
        <w:rPr>
          <w:rFonts w:ascii="仿宋" w:hAnsi="仿宋" w:eastAsia="仿宋"/>
          <w:kern w:val="2"/>
          <w:sz w:val="32"/>
          <w:szCs w:val="32"/>
        </w:rPr>
        <w:t>（十）完成省退役军人事务厅交办的其他工作。</w:t>
      </w:r>
    </w:p>
    <w:p>
      <w:pPr>
        <w:pStyle w:val="6"/>
        <w:ind w:firstLine="640" w:firstLineChars="200"/>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pPr>
        <w:pStyle w:val="9"/>
        <w:adjustRightInd w:val="0"/>
        <w:spacing w:before="93" w:line="600" w:lineRule="exact"/>
        <w:ind w:firstLine="640" w:firstLineChars="200"/>
        <w:rPr>
          <w:rFonts w:ascii="仿宋" w:hAnsi="仿宋" w:eastAsia="仿宋"/>
          <w:kern w:val="2"/>
          <w:sz w:val="32"/>
          <w:szCs w:val="32"/>
          <w:highlight w:val="none"/>
        </w:rPr>
      </w:pPr>
      <w:r>
        <w:rPr>
          <w:rFonts w:ascii="仿宋" w:hAnsi="仿宋" w:eastAsia="仿宋"/>
          <w:kern w:val="2"/>
          <w:sz w:val="32"/>
          <w:szCs w:val="32"/>
          <w:highlight w:val="none"/>
        </w:rPr>
        <w:t>四川省革命伤残军人休养院设有院办公室</w:t>
      </w:r>
      <w:r>
        <w:rPr>
          <w:rFonts w:hint="eastAsia" w:ascii="仿宋" w:hAnsi="仿宋" w:eastAsia="仿宋"/>
          <w:kern w:val="2"/>
          <w:sz w:val="32"/>
          <w:szCs w:val="32"/>
          <w:highlight w:val="none"/>
        </w:rPr>
        <w:t>、</w:t>
      </w:r>
      <w:r>
        <w:rPr>
          <w:rFonts w:ascii="仿宋" w:hAnsi="仿宋" w:eastAsia="仿宋"/>
          <w:kern w:val="2"/>
          <w:sz w:val="32"/>
          <w:szCs w:val="32"/>
          <w:highlight w:val="none"/>
        </w:rPr>
        <w:t>医务部</w:t>
      </w:r>
      <w:r>
        <w:rPr>
          <w:rFonts w:hint="eastAsia" w:ascii="仿宋" w:hAnsi="仿宋" w:eastAsia="仿宋"/>
          <w:kern w:val="2"/>
          <w:sz w:val="32"/>
          <w:szCs w:val="32"/>
          <w:highlight w:val="none"/>
        </w:rPr>
        <w:t>、</w:t>
      </w:r>
      <w:r>
        <w:rPr>
          <w:rFonts w:ascii="仿宋" w:hAnsi="仿宋" w:eastAsia="仿宋"/>
          <w:kern w:val="2"/>
          <w:sz w:val="32"/>
          <w:szCs w:val="32"/>
          <w:highlight w:val="none"/>
        </w:rPr>
        <w:t>财务</w:t>
      </w:r>
      <w:r>
        <w:rPr>
          <w:rFonts w:hint="eastAsia" w:ascii="仿宋" w:hAnsi="仿宋" w:eastAsia="仿宋"/>
          <w:kern w:val="2"/>
          <w:sz w:val="32"/>
          <w:szCs w:val="32"/>
          <w:highlight w:val="none"/>
        </w:rPr>
        <w:t>部、医学装备部、组织人事部、信息管理中心等27个</w:t>
      </w:r>
      <w:r>
        <w:rPr>
          <w:rFonts w:hint="eastAsia" w:ascii="仿宋" w:hAnsi="仿宋" w:eastAsia="仿宋"/>
          <w:kern w:val="2"/>
          <w:sz w:val="32"/>
          <w:szCs w:val="32"/>
          <w:highlight w:val="none"/>
          <w:lang w:val="en-US" w:eastAsia="zh-CN"/>
        </w:rPr>
        <w:t>管理类</w:t>
      </w:r>
      <w:r>
        <w:rPr>
          <w:rFonts w:hint="eastAsia" w:ascii="仿宋" w:hAnsi="仿宋" w:eastAsia="仿宋"/>
          <w:kern w:val="2"/>
          <w:sz w:val="32"/>
          <w:szCs w:val="32"/>
          <w:highlight w:val="none"/>
        </w:rPr>
        <w:t>科室，</w:t>
      </w:r>
      <w:r>
        <w:rPr>
          <w:rFonts w:hint="eastAsia" w:ascii="仿宋" w:hAnsi="仿宋" w:eastAsia="仿宋"/>
          <w:kern w:val="2"/>
          <w:sz w:val="32"/>
          <w:szCs w:val="32"/>
          <w:highlight w:val="none"/>
          <w:lang w:val="en-US" w:eastAsia="zh-CN"/>
        </w:rPr>
        <w:t>呼吸与危重症医学科</w:t>
      </w:r>
      <w:r>
        <w:rPr>
          <w:rFonts w:hint="eastAsia" w:ascii="仿宋" w:hAnsi="仿宋" w:eastAsia="仿宋"/>
          <w:kern w:val="2"/>
          <w:sz w:val="32"/>
          <w:szCs w:val="32"/>
          <w:highlight w:val="none"/>
        </w:rPr>
        <w:t>、</w:t>
      </w:r>
      <w:r>
        <w:rPr>
          <w:rFonts w:hint="eastAsia" w:ascii="仿宋" w:hAnsi="仿宋" w:eastAsia="仿宋"/>
          <w:kern w:val="2"/>
          <w:sz w:val="32"/>
          <w:szCs w:val="32"/>
          <w:highlight w:val="none"/>
          <w:lang w:val="en-US" w:eastAsia="zh-CN"/>
        </w:rPr>
        <w:t>消化内科</w:t>
      </w:r>
      <w:r>
        <w:rPr>
          <w:rFonts w:hint="eastAsia" w:ascii="仿宋" w:hAnsi="仿宋" w:eastAsia="仿宋"/>
          <w:kern w:val="2"/>
          <w:sz w:val="32"/>
          <w:szCs w:val="32"/>
          <w:highlight w:val="none"/>
        </w:rPr>
        <w:t>、</w:t>
      </w:r>
      <w:r>
        <w:rPr>
          <w:rFonts w:hint="eastAsia" w:ascii="仿宋" w:hAnsi="仿宋" w:eastAsia="仿宋"/>
          <w:kern w:val="2"/>
          <w:sz w:val="32"/>
          <w:szCs w:val="32"/>
          <w:highlight w:val="none"/>
          <w:lang w:val="en-US" w:eastAsia="zh-CN"/>
        </w:rPr>
        <w:t>外一科</w:t>
      </w:r>
      <w:r>
        <w:rPr>
          <w:rFonts w:hint="eastAsia" w:ascii="仿宋" w:hAnsi="仿宋" w:eastAsia="仿宋"/>
          <w:kern w:val="2"/>
          <w:sz w:val="32"/>
          <w:szCs w:val="32"/>
          <w:highlight w:val="none"/>
        </w:rPr>
        <w:t>、</w:t>
      </w:r>
      <w:r>
        <w:rPr>
          <w:rFonts w:hint="eastAsia" w:ascii="仿宋" w:hAnsi="仿宋" w:eastAsia="仿宋"/>
          <w:kern w:val="2"/>
          <w:sz w:val="32"/>
          <w:szCs w:val="32"/>
          <w:highlight w:val="none"/>
          <w:lang w:val="en-US" w:eastAsia="zh-CN"/>
        </w:rPr>
        <w:t>外二科</w:t>
      </w:r>
      <w:r>
        <w:rPr>
          <w:rFonts w:hint="eastAsia" w:ascii="仿宋" w:hAnsi="仿宋" w:eastAsia="仿宋"/>
          <w:kern w:val="2"/>
          <w:sz w:val="32"/>
          <w:szCs w:val="32"/>
          <w:highlight w:val="none"/>
        </w:rPr>
        <w:t>、</w:t>
      </w:r>
      <w:r>
        <w:rPr>
          <w:rFonts w:hint="eastAsia" w:ascii="仿宋" w:hAnsi="仿宋" w:eastAsia="仿宋"/>
          <w:kern w:val="2"/>
          <w:sz w:val="32"/>
          <w:szCs w:val="32"/>
          <w:highlight w:val="none"/>
          <w:lang w:val="en-US" w:eastAsia="zh-CN"/>
        </w:rPr>
        <w:t>急诊科</w:t>
      </w:r>
      <w:r>
        <w:rPr>
          <w:rFonts w:hint="eastAsia" w:ascii="仿宋" w:hAnsi="仿宋" w:eastAsia="仿宋"/>
          <w:kern w:val="2"/>
          <w:sz w:val="32"/>
          <w:szCs w:val="32"/>
          <w:highlight w:val="none"/>
        </w:rPr>
        <w:t>、</w:t>
      </w:r>
      <w:r>
        <w:rPr>
          <w:rFonts w:hint="eastAsia" w:ascii="仿宋" w:hAnsi="仿宋" w:eastAsia="仿宋"/>
          <w:kern w:val="2"/>
          <w:sz w:val="32"/>
          <w:szCs w:val="32"/>
          <w:highlight w:val="none"/>
          <w:lang w:val="en-US" w:eastAsia="zh-CN"/>
        </w:rPr>
        <w:t>中医科、重症医学科、麻醉科</w:t>
      </w:r>
      <w:r>
        <w:rPr>
          <w:rFonts w:hint="eastAsia" w:ascii="仿宋" w:hAnsi="仿宋" w:eastAsia="仿宋"/>
          <w:kern w:val="2"/>
          <w:sz w:val="32"/>
          <w:szCs w:val="32"/>
          <w:highlight w:val="none"/>
        </w:rPr>
        <w:t>等</w:t>
      </w:r>
      <w:r>
        <w:rPr>
          <w:rFonts w:hint="eastAsia" w:ascii="仿宋" w:hAnsi="仿宋" w:eastAsia="仿宋"/>
          <w:kern w:val="2"/>
          <w:sz w:val="32"/>
          <w:szCs w:val="32"/>
          <w:highlight w:val="none"/>
          <w:lang w:val="en-US" w:eastAsia="zh-CN"/>
        </w:rPr>
        <w:t>36</w:t>
      </w:r>
      <w:r>
        <w:rPr>
          <w:rFonts w:hint="eastAsia" w:ascii="仿宋" w:hAnsi="仿宋" w:eastAsia="仿宋"/>
          <w:kern w:val="2"/>
          <w:sz w:val="32"/>
          <w:szCs w:val="32"/>
          <w:highlight w:val="none"/>
        </w:rPr>
        <w:t>个</w:t>
      </w:r>
      <w:r>
        <w:rPr>
          <w:rFonts w:hint="eastAsia" w:ascii="仿宋" w:hAnsi="仿宋" w:eastAsia="仿宋"/>
          <w:kern w:val="2"/>
          <w:sz w:val="32"/>
          <w:szCs w:val="32"/>
          <w:highlight w:val="none"/>
          <w:lang w:val="en-US" w:eastAsia="zh-CN"/>
        </w:rPr>
        <w:t>业务类</w:t>
      </w:r>
      <w:r>
        <w:rPr>
          <w:rFonts w:hint="eastAsia" w:ascii="仿宋" w:hAnsi="仿宋" w:eastAsia="仿宋"/>
          <w:kern w:val="2"/>
          <w:sz w:val="32"/>
          <w:szCs w:val="32"/>
          <w:highlight w:val="none"/>
        </w:rPr>
        <w:t>科室。</w:t>
      </w:r>
    </w:p>
    <w:p>
      <w:pPr>
        <w:widowControl/>
        <w:jc w:val="left"/>
        <w:rPr>
          <w:rFonts w:ascii="Times New Roman" w:hAnsi="Times New Roman" w:eastAsia="仿宋"/>
          <w:color w:val="auto"/>
          <w:kern w:val="0"/>
          <w:sz w:val="32"/>
          <w:szCs w:val="32"/>
          <w:highlight w:val="none"/>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10"/>
      <w:bookmarkEnd w:id="11"/>
    </w:p>
    <w:p>
      <w:pPr>
        <w:rPr>
          <w:rFonts w:ascii="Times New Roman" w:hAnsi="Times New Roman"/>
          <w:color w:val="auto"/>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29387.84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5708.31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24.1</w:t>
      </w:r>
      <w:r>
        <w:rPr>
          <w:rFonts w:hint="eastAsia" w:ascii="Times New Roman" w:hAnsi="Times New Roman" w:eastAsia="仿宋_GB2312" w:cs="仿宋_GB2312"/>
          <w:color w:val="auto"/>
          <w:sz w:val="32"/>
          <w:szCs w:val="32"/>
          <w:highlight w:val="none"/>
        </w:rPr>
        <w:t>%。主要变动原因</w:t>
      </w:r>
      <w:r>
        <w:rPr>
          <w:rFonts w:hint="eastAsia" w:ascii="仿宋_GB2312" w:hAnsi="仿宋" w:eastAsia="仿宋_GB2312"/>
          <w:bCs/>
          <w:color w:val="auto"/>
          <w:sz w:val="32"/>
          <w:szCs w:val="32"/>
          <w:lang w:val="en-US" w:eastAsia="zh-CN"/>
        </w:rPr>
        <w:t>是</w:t>
      </w:r>
      <w:r>
        <w:rPr>
          <w:rFonts w:hint="eastAsia" w:ascii="仿宋_GB2312" w:hAnsi="仿宋" w:eastAsia="仿宋_GB2312"/>
          <w:bCs/>
          <w:color w:val="auto"/>
          <w:sz w:val="32"/>
          <w:szCs w:val="32"/>
        </w:rPr>
        <w:t>增加医养结合中心维修改造项目</w:t>
      </w:r>
      <w:r>
        <w:rPr>
          <w:rFonts w:hint="eastAsia" w:ascii="仿宋_GB2312" w:hAnsi="仿宋" w:eastAsia="仿宋_GB2312"/>
          <w:bCs/>
          <w:color w:val="auto"/>
          <w:sz w:val="32"/>
          <w:szCs w:val="32"/>
          <w:lang w:eastAsia="zh-CN"/>
        </w:rPr>
        <w:t>、</w:t>
      </w:r>
      <w:r>
        <w:rPr>
          <w:rFonts w:hint="eastAsia" w:ascii="仿宋_GB2312" w:hAnsi="仿宋" w:eastAsia="仿宋_GB2312"/>
          <w:bCs/>
          <w:color w:val="auto"/>
          <w:sz w:val="32"/>
          <w:szCs w:val="32"/>
        </w:rPr>
        <w:t>中央专项彩票公益金用于支持优抚医院能力提升项目</w:t>
      </w:r>
      <w:r>
        <w:rPr>
          <w:rFonts w:hint="eastAsia" w:ascii="仿宋_GB2312" w:hAnsi="仿宋" w:eastAsia="仿宋_GB2312"/>
          <w:bCs/>
          <w:color w:val="auto"/>
          <w:sz w:val="32"/>
          <w:szCs w:val="32"/>
          <w:lang w:eastAsia="zh-CN"/>
        </w:rPr>
        <w:t>财政拨款，对应项目支出增加。</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1" locked="0" layoutInCell="1" allowOverlap="1">
            <wp:simplePos x="0" y="0"/>
            <wp:positionH relativeFrom="column">
              <wp:posOffset>425450</wp:posOffset>
            </wp:positionH>
            <wp:positionV relativeFrom="paragraph">
              <wp:posOffset>190500</wp:posOffset>
            </wp:positionV>
            <wp:extent cx="4572000" cy="3169920"/>
            <wp:effectExtent l="4445" t="4445" r="14605" b="6985"/>
            <wp:wrapTight wrapText="bothSides">
              <wp:wrapPolygon>
                <wp:start x="-21" y="-30"/>
                <wp:lineTo x="-21" y="21518"/>
                <wp:lineTo x="21579" y="21518"/>
                <wp:lineTo x="21579" y="-30"/>
                <wp:lineTo x="-21" y="-30"/>
              </wp:wrapPolygon>
            </wp:wrapTight>
            <wp:docPr id="110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29285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10242.67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1771.1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16989.56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58</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281.67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2336" behindDoc="1" locked="0" layoutInCell="1" allowOverlap="1">
            <wp:simplePos x="0" y="0"/>
            <wp:positionH relativeFrom="column">
              <wp:posOffset>271145</wp:posOffset>
            </wp:positionH>
            <wp:positionV relativeFrom="paragraph">
              <wp:posOffset>-3005455</wp:posOffset>
            </wp:positionV>
            <wp:extent cx="4573270" cy="3303905"/>
            <wp:effectExtent l="4445" t="4445" r="13335" b="6350"/>
            <wp:wrapTight wrapText="bothSides">
              <wp:wrapPolygon>
                <wp:start x="-21" y="-29"/>
                <wp:lineTo x="-21" y="21517"/>
                <wp:lineTo x="21573" y="21517"/>
                <wp:lineTo x="21573" y="-29"/>
                <wp:lineTo x="-21" y="-29"/>
              </wp:wrapPolygon>
            </wp:wrapTight>
            <wp:docPr id="212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28279.57</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11708.23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41.4</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16571.34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58.6</w:t>
      </w:r>
      <w:r>
        <w:rPr>
          <w:rFonts w:hint="eastAsia" w:ascii="Times New Roman" w:hAnsi="Times New Roman" w:eastAsia="仿宋_GB2312" w:cs="仿宋_GB2312"/>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3360" behindDoc="1" locked="0" layoutInCell="1" allowOverlap="1">
            <wp:simplePos x="0" y="0"/>
            <wp:positionH relativeFrom="column">
              <wp:posOffset>273050</wp:posOffset>
            </wp:positionH>
            <wp:positionV relativeFrom="paragraph">
              <wp:posOffset>-2222500</wp:posOffset>
            </wp:positionV>
            <wp:extent cx="4572000" cy="2505075"/>
            <wp:effectExtent l="6350" t="6350" r="12700" b="22225"/>
            <wp:wrapTight wrapText="bothSides">
              <wp:wrapPolygon>
                <wp:start x="-30" y="-55"/>
                <wp:lineTo x="-30" y="21463"/>
                <wp:lineTo x="21570" y="21463"/>
                <wp:lineTo x="21570" y="-55"/>
                <wp:lineTo x="-30" y="-55"/>
              </wp:wrapPolygon>
            </wp:wrapTight>
            <wp:docPr id="312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12013.77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4598.93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62</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仿宋_GB2312" w:hAnsi="仿宋" w:eastAsia="仿宋_GB2312"/>
          <w:bCs/>
          <w:color w:val="auto"/>
          <w:sz w:val="32"/>
          <w:szCs w:val="32"/>
        </w:rPr>
        <w:t>增加医养结合中心维修改造项目</w:t>
      </w:r>
      <w:r>
        <w:rPr>
          <w:rFonts w:hint="eastAsia" w:ascii="仿宋_GB2312" w:hAnsi="仿宋" w:eastAsia="仿宋_GB2312"/>
          <w:bCs/>
          <w:color w:val="auto"/>
          <w:sz w:val="32"/>
          <w:szCs w:val="32"/>
          <w:lang w:eastAsia="zh-CN"/>
        </w:rPr>
        <w:t>、</w:t>
      </w:r>
      <w:r>
        <w:rPr>
          <w:rFonts w:hint="eastAsia" w:ascii="仿宋_GB2312" w:hAnsi="仿宋" w:eastAsia="仿宋_GB2312"/>
          <w:bCs/>
          <w:color w:val="auto"/>
          <w:sz w:val="32"/>
          <w:szCs w:val="32"/>
        </w:rPr>
        <w:t>中央专项彩票公益金用于支持优抚医院能力提升项目</w:t>
      </w:r>
      <w:r>
        <w:rPr>
          <w:rFonts w:hint="eastAsia" w:ascii="仿宋_GB2312" w:hAnsi="仿宋" w:eastAsia="仿宋_GB2312"/>
          <w:bCs/>
          <w:color w:val="auto"/>
          <w:sz w:val="32"/>
          <w:szCs w:val="32"/>
          <w:lang w:eastAsia="zh-CN"/>
        </w:rPr>
        <w:t>财政拨款，对应项目支出增加。</w:t>
      </w:r>
    </w:p>
    <w:p>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t xml:space="preserve">      </w:t>
      </w:r>
      <w:r>
        <w:drawing>
          <wp:inline distT="0" distB="0" distL="114300" distR="114300">
            <wp:extent cx="4752975" cy="3207385"/>
            <wp:effectExtent l="4445" t="4445" r="5080" b="7620"/>
            <wp:docPr id="1949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1600" w:firstLineChars="500"/>
        <w:rPr>
          <w:rFonts w:hint="eastAsia" w:ascii="Times New Roman" w:hAnsi="Times New Roman" w:eastAsia="黑体"/>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bookmarkStart w:id="20" w:name="_Toc15377209"/>
      <w:bookmarkStart w:id="21" w:name="_Toc15396607"/>
    </w:p>
    <w:p>
      <w:pPr>
        <w:spacing w:line="600" w:lineRule="exact"/>
        <w:ind w:firstLine="640" w:firstLineChars="200"/>
        <w:outlineLvl w:val="1"/>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eastAsia" w:ascii="仿宋_GB2312" w:hAnsi="仿宋" w:eastAsia="仿宋_GB2312"/>
          <w:bCs/>
          <w:color w:val="auto"/>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9759.49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84.6</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2373.55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32.1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增加</w:t>
      </w:r>
      <w:r>
        <w:rPr>
          <w:rFonts w:hint="eastAsia" w:ascii="仿宋_GB2312" w:hAnsi="仿宋" w:eastAsia="仿宋_GB2312"/>
          <w:bCs/>
          <w:color w:val="auto"/>
          <w:sz w:val="32"/>
          <w:szCs w:val="32"/>
        </w:rPr>
        <w:t>医养结合中心维修改造项目</w:t>
      </w:r>
      <w:r>
        <w:rPr>
          <w:rFonts w:hint="eastAsia" w:ascii="仿宋_GB2312" w:hAnsi="仿宋" w:eastAsia="仿宋_GB2312"/>
          <w:bCs/>
          <w:color w:val="auto"/>
          <w:sz w:val="32"/>
          <w:szCs w:val="32"/>
          <w:lang w:val="en-US" w:eastAsia="zh-CN"/>
        </w:rPr>
        <w:t>支出</w:t>
      </w:r>
      <w:r>
        <w:rPr>
          <w:rFonts w:hint="eastAsia" w:ascii="仿宋_GB2312" w:hAnsi="仿宋" w:eastAsia="仿宋_GB2312"/>
          <w:bCs/>
          <w:color w:val="auto"/>
          <w:sz w:val="32"/>
          <w:szCs w:val="32"/>
          <w:lang w:eastAsia="zh-CN"/>
        </w:rPr>
        <w:t>。</w:t>
      </w:r>
    </w:p>
    <w:p>
      <w:pPr>
        <w:pStyle w:val="3"/>
        <w:ind w:left="0" w:leftChars="0" w:firstLine="0" w:firstLineChars="0"/>
        <w:rPr>
          <w:rFonts w:hint="eastAsia" w:ascii="仿宋_GB2312" w:hAnsi="仿宋" w:eastAsia="仿宋_GB2312"/>
          <w:bCs/>
          <w:color w:val="auto"/>
          <w:sz w:val="32"/>
          <w:szCs w:val="32"/>
          <w:lang w:eastAsia="zh-CN"/>
        </w:rPr>
      </w:pPr>
    </w:p>
    <w:p>
      <w:pPr>
        <w:pStyle w:val="3"/>
        <w:ind w:left="0" w:leftChars="0" w:firstLine="0" w:firstLineChars="0"/>
        <w:rPr>
          <w:rFonts w:hint="eastAsia" w:ascii="仿宋_GB2312" w:hAnsi="仿宋" w:eastAsia="仿宋_GB2312"/>
          <w:bCs/>
          <w:color w:val="auto"/>
          <w:sz w:val="32"/>
          <w:szCs w:val="32"/>
          <w:lang w:eastAsia="zh-CN"/>
        </w:rPr>
      </w:pPr>
      <w:r>
        <w:drawing>
          <wp:anchor distT="0" distB="0" distL="114300" distR="114300" simplePos="0" relativeHeight="251661312" behindDoc="1" locked="0" layoutInCell="1" allowOverlap="1">
            <wp:simplePos x="0" y="0"/>
            <wp:positionH relativeFrom="column">
              <wp:posOffset>365125</wp:posOffset>
            </wp:positionH>
            <wp:positionV relativeFrom="paragraph">
              <wp:posOffset>-336550</wp:posOffset>
            </wp:positionV>
            <wp:extent cx="4752975" cy="2599690"/>
            <wp:effectExtent l="6350" t="6350" r="22225" b="22860"/>
            <wp:wrapTight wrapText="bothSides">
              <wp:wrapPolygon>
                <wp:start x="-29" y="-53"/>
                <wp:lineTo x="-29" y="21473"/>
                <wp:lineTo x="21528" y="21473"/>
                <wp:lineTo x="21528" y="-53"/>
                <wp:lineTo x="-29" y="-53"/>
              </wp:wrapPolygon>
            </wp:wrapTight>
            <wp:docPr id="3792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9759.49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10.84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8528.65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87.4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3"/>
        <w:rPr>
          <w:rFonts w:hint="eastAsia"/>
          <w:lang w:val="en-US" w:eastAsia="zh-CN"/>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1" locked="0" layoutInCell="1" allowOverlap="1">
            <wp:simplePos x="0" y="0"/>
            <wp:positionH relativeFrom="column">
              <wp:posOffset>412750</wp:posOffset>
            </wp:positionH>
            <wp:positionV relativeFrom="paragraph">
              <wp:posOffset>-2241550</wp:posOffset>
            </wp:positionV>
            <wp:extent cx="4486275" cy="2533650"/>
            <wp:effectExtent l="6350" t="6350" r="22225" b="12700"/>
            <wp:wrapTight wrapText="bothSides">
              <wp:wrapPolygon>
                <wp:start x="-31" y="-54"/>
                <wp:lineTo x="-31" y="21546"/>
                <wp:lineTo x="21524" y="21546"/>
                <wp:lineTo x="21524" y="-54"/>
                <wp:lineTo x="-31" y="-54"/>
              </wp:wrapPolygon>
            </wp:wrapTight>
            <wp:docPr id="3997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9759.49万元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95.3</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（类）科技重大项目（款）重点研发计划（项）：支出决算为</w:t>
      </w:r>
      <w:r>
        <w:rPr>
          <w:rFonts w:hint="eastAsia" w:eastAsia="仿宋_GB2312" w:cs="仿宋_GB2312"/>
          <w:color w:val="auto"/>
          <w:kern w:val="2"/>
          <w:sz w:val="32"/>
          <w:szCs w:val="32"/>
          <w:highlight w:val="none"/>
          <w:lang w:val="en-US" w:eastAsia="zh-CN" w:bidi="ar-SA"/>
        </w:rPr>
        <w:t>10.84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41.7</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%，决算数小于预算数的主要原因是伤残军人晚期疾病的安宁疗护智慧管理技术研究与临床应用示范项目</w:t>
      </w:r>
      <w:r>
        <w:rPr>
          <w:rFonts w:hint="eastAsia" w:eastAsia="仿宋_GB2312" w:cs="仿宋_GB2312"/>
          <w:color w:val="auto"/>
          <w:kern w:val="2"/>
          <w:sz w:val="32"/>
          <w:szCs w:val="32"/>
          <w:highlight w:val="none"/>
          <w:lang w:val="en-US" w:eastAsia="zh-CN" w:bidi="ar-SA"/>
        </w:rPr>
        <w:t>作为科研项目，课题结束时间为2026年6月</w:t>
      </w:r>
      <w:r>
        <w:rPr>
          <w:rFonts w:hint="eastAsia" w:ascii="Times New Roman" w:hAnsi="Times New Roman" w:eastAsia="仿宋_GB2312" w:cs="仿宋_GB2312"/>
          <w:color w:val="auto"/>
          <w:kern w:val="2"/>
          <w:sz w:val="32"/>
          <w:szCs w:val="32"/>
          <w:highlight w:val="none"/>
          <w:lang w:val="en-US" w:eastAsia="zh-CN" w:bidi="ar-SA"/>
        </w:rPr>
        <w:t>，剩余资金按规定结转下年使用。</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.社会保障和就业支出（类）行政事业单位养老支出（款）事业单位离退休（项）：支出决算为</w:t>
      </w:r>
      <w:r>
        <w:rPr>
          <w:rFonts w:hint="eastAsia" w:eastAsia="仿宋_GB2312" w:cs="仿宋_GB2312"/>
          <w:color w:val="auto"/>
          <w:kern w:val="2"/>
          <w:sz w:val="32"/>
          <w:szCs w:val="32"/>
          <w:highlight w:val="none"/>
          <w:lang w:val="en-US" w:eastAsia="zh-CN" w:bidi="ar-SA"/>
        </w:rPr>
        <w:t>28.1</w:t>
      </w:r>
      <w:r>
        <w:rPr>
          <w:rFonts w:hint="eastAsia" w:ascii="Times New Roman" w:hAnsi="Times New Roman" w:eastAsia="仿宋_GB2312" w:cs="仿宋_GB2312"/>
          <w:color w:val="auto"/>
          <w:kern w:val="2"/>
          <w:sz w:val="32"/>
          <w:szCs w:val="32"/>
          <w:highlight w:val="none"/>
          <w:lang w:val="en-US" w:eastAsia="zh-CN" w:bidi="ar-SA"/>
        </w:rPr>
        <w:t>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.社会保障和就业支出（类）行政事业单位养老支出（款）机关事业单位基本养老保险缴费支出（项）：支出决算为460万元，完成预算100%。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.社会保障和就业支出（类）行政事业单位养老支出（款）机关事业单位职业年金缴费支出（项）: 支出决算为200万元，完成预算100%。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.社会保障和就业支出（类）抚恤（款）</w:t>
      </w:r>
      <w:r>
        <w:rPr>
          <w:rFonts w:hint="eastAsia" w:eastAsia="仿宋_GB2312" w:cs="仿宋_GB2312"/>
          <w:color w:val="auto"/>
          <w:kern w:val="2"/>
          <w:sz w:val="32"/>
          <w:szCs w:val="32"/>
          <w:highlight w:val="none"/>
          <w:lang w:val="en-US" w:eastAsia="zh-CN" w:bidi="ar-SA"/>
        </w:rPr>
        <w:t>死亡</w:t>
      </w:r>
      <w:r>
        <w:rPr>
          <w:rFonts w:hint="eastAsia" w:ascii="Times New Roman" w:hAnsi="Times New Roman" w:eastAsia="仿宋_GB2312" w:cs="仿宋_GB2312"/>
          <w:color w:val="auto"/>
          <w:kern w:val="2"/>
          <w:sz w:val="32"/>
          <w:szCs w:val="32"/>
          <w:highlight w:val="none"/>
          <w:lang w:val="en-US" w:eastAsia="zh-CN" w:bidi="ar-SA"/>
        </w:rPr>
        <w:t>抚恤（项）：支出决算为</w:t>
      </w:r>
      <w:r>
        <w:rPr>
          <w:rFonts w:hint="eastAsia" w:eastAsia="仿宋_GB2312" w:cs="仿宋_GB2312"/>
          <w:color w:val="auto"/>
          <w:kern w:val="2"/>
          <w:sz w:val="32"/>
          <w:szCs w:val="32"/>
          <w:highlight w:val="none"/>
          <w:lang w:val="en-US" w:eastAsia="zh-CN" w:bidi="ar-SA"/>
        </w:rPr>
        <w:t>33.87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6.社会保障和就业支出（类）抚恤（款）伤残抚恤（项）：支出决算为</w:t>
      </w:r>
      <w:r>
        <w:rPr>
          <w:rFonts w:hint="eastAsia" w:eastAsia="仿宋_GB2312" w:cs="仿宋_GB2312"/>
          <w:color w:val="auto"/>
          <w:kern w:val="2"/>
          <w:sz w:val="32"/>
          <w:szCs w:val="32"/>
          <w:highlight w:val="none"/>
          <w:lang w:val="en-US" w:eastAsia="zh-CN" w:bidi="ar-SA"/>
        </w:rPr>
        <w:t>882.21</w:t>
      </w:r>
      <w:r>
        <w:rPr>
          <w:rFonts w:hint="eastAsia" w:ascii="Times New Roman" w:hAnsi="Times New Roman" w:eastAsia="仿宋_GB2312" w:cs="仿宋_GB2312"/>
          <w:color w:val="auto"/>
          <w:kern w:val="2"/>
          <w:sz w:val="32"/>
          <w:szCs w:val="32"/>
          <w:highlight w:val="none"/>
          <w:lang w:val="en-US" w:eastAsia="zh-CN" w:bidi="ar-SA"/>
        </w:rPr>
        <w:t>万元，完成预算9</w:t>
      </w:r>
      <w:r>
        <w:rPr>
          <w:rFonts w:hint="eastAsia" w:eastAsia="仿宋_GB2312" w:cs="仿宋_GB2312"/>
          <w:color w:val="auto"/>
          <w:kern w:val="2"/>
          <w:sz w:val="32"/>
          <w:szCs w:val="32"/>
          <w:highlight w:val="none"/>
          <w:lang w:val="en-US" w:eastAsia="zh-CN" w:bidi="ar-SA"/>
        </w:rPr>
        <w:t>7.3</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%，决算数小于预算数的主要原因是中央优抚对象抚恤补助经费项目剩余资金</w:t>
      </w:r>
      <w:r>
        <w:rPr>
          <w:rFonts w:hint="eastAsia" w:eastAsia="仿宋_GB2312" w:cs="仿宋_GB2312"/>
          <w:color w:val="auto"/>
          <w:kern w:val="2"/>
          <w:sz w:val="32"/>
          <w:szCs w:val="32"/>
          <w:highlight w:val="none"/>
          <w:lang w:val="en-US" w:eastAsia="zh-CN" w:bidi="ar-SA"/>
        </w:rPr>
        <w:t>本年未使用完毕，</w:t>
      </w:r>
      <w:r>
        <w:rPr>
          <w:rFonts w:hint="eastAsia" w:ascii="Times New Roman" w:hAnsi="Times New Roman" w:eastAsia="仿宋_GB2312" w:cs="仿宋_GB2312"/>
          <w:color w:val="auto"/>
          <w:kern w:val="2"/>
          <w:sz w:val="32"/>
          <w:szCs w:val="32"/>
          <w:highlight w:val="none"/>
          <w:lang w:val="en-US" w:eastAsia="zh-CN" w:bidi="ar-SA"/>
        </w:rPr>
        <w:t>按</w:t>
      </w:r>
      <w:r>
        <w:rPr>
          <w:rFonts w:hint="eastAsia" w:eastAsia="仿宋_GB2312" w:cs="仿宋_GB2312"/>
          <w:color w:val="auto"/>
          <w:kern w:val="2"/>
          <w:sz w:val="32"/>
          <w:szCs w:val="32"/>
          <w:highlight w:val="none"/>
          <w:lang w:val="en-US" w:eastAsia="zh-CN" w:bidi="ar-SA"/>
        </w:rPr>
        <w:t>资金管理办法</w:t>
      </w:r>
      <w:r>
        <w:rPr>
          <w:rFonts w:hint="eastAsia" w:ascii="Times New Roman" w:hAnsi="Times New Roman" w:eastAsia="仿宋_GB2312" w:cs="仿宋_GB2312"/>
          <w:color w:val="auto"/>
          <w:kern w:val="2"/>
          <w:sz w:val="32"/>
          <w:szCs w:val="32"/>
          <w:highlight w:val="none"/>
          <w:lang w:val="en-US" w:eastAsia="zh-CN" w:bidi="ar-SA"/>
        </w:rPr>
        <w:t>规定结转下年使用。</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7.社会保障和就业支出（类）抚恤（款）其他优抚支出（项）：支出决算为</w:t>
      </w:r>
      <w:r>
        <w:rPr>
          <w:rFonts w:hint="eastAsia" w:eastAsia="仿宋_GB2312" w:cs="仿宋_GB2312"/>
          <w:color w:val="auto"/>
          <w:kern w:val="2"/>
          <w:sz w:val="32"/>
          <w:szCs w:val="32"/>
          <w:highlight w:val="none"/>
          <w:lang w:val="en-US" w:eastAsia="zh-CN" w:bidi="ar-SA"/>
        </w:rPr>
        <w:t>4227.13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90.5</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%，决算数小于预算数的主要原因是优抚安置事业单位维修改造和设备购置项目</w:t>
      </w:r>
      <w:r>
        <w:rPr>
          <w:rFonts w:hint="eastAsia" w:eastAsia="仿宋_GB2312" w:cs="仿宋_GB2312"/>
          <w:color w:val="auto"/>
          <w:kern w:val="2"/>
          <w:sz w:val="32"/>
          <w:szCs w:val="32"/>
          <w:highlight w:val="none"/>
          <w:lang w:val="en-US" w:eastAsia="zh-CN" w:bidi="ar-SA"/>
        </w:rPr>
        <w:t>医疗设备尚未验收，</w:t>
      </w:r>
      <w:r>
        <w:rPr>
          <w:rFonts w:hint="eastAsia" w:ascii="Times New Roman" w:hAnsi="Times New Roman" w:eastAsia="仿宋_GB2312" w:cs="仿宋_GB2312"/>
          <w:color w:val="auto"/>
          <w:kern w:val="2"/>
          <w:sz w:val="32"/>
          <w:szCs w:val="32"/>
          <w:highlight w:val="none"/>
          <w:lang w:val="en-US" w:eastAsia="zh-CN" w:bidi="ar-SA"/>
        </w:rPr>
        <w:t>剩余资金按</w:t>
      </w:r>
      <w:r>
        <w:rPr>
          <w:rFonts w:hint="eastAsia" w:eastAsia="仿宋_GB2312" w:cs="仿宋_GB2312"/>
          <w:color w:val="auto"/>
          <w:kern w:val="2"/>
          <w:sz w:val="32"/>
          <w:szCs w:val="32"/>
          <w:highlight w:val="none"/>
          <w:lang w:val="en-US" w:eastAsia="zh-CN" w:bidi="ar-SA"/>
        </w:rPr>
        <w:t>采购合同约</w:t>
      </w:r>
      <w:r>
        <w:rPr>
          <w:rFonts w:hint="eastAsia" w:ascii="Times New Roman" w:hAnsi="Times New Roman" w:eastAsia="仿宋_GB2312" w:cs="仿宋_GB2312"/>
          <w:color w:val="auto"/>
          <w:kern w:val="2"/>
          <w:sz w:val="32"/>
          <w:szCs w:val="32"/>
          <w:highlight w:val="none"/>
          <w:lang w:val="en-US" w:eastAsia="zh-CN" w:bidi="ar-SA"/>
        </w:rPr>
        <w:t>定结转下年</w:t>
      </w:r>
      <w:r>
        <w:rPr>
          <w:rFonts w:hint="eastAsia" w:eastAsia="仿宋_GB2312" w:cs="仿宋_GB2312"/>
          <w:color w:val="auto"/>
          <w:kern w:val="2"/>
          <w:sz w:val="32"/>
          <w:szCs w:val="32"/>
          <w:highlight w:val="none"/>
          <w:lang w:val="en-US" w:eastAsia="zh-CN" w:bidi="ar-SA"/>
        </w:rPr>
        <w:t>支付</w:t>
      </w:r>
      <w:r>
        <w:rPr>
          <w:rFonts w:hint="eastAsia" w:ascii="Times New Roman" w:hAnsi="Times New Roman" w:eastAsia="仿宋_GB2312" w:cs="仿宋_GB2312"/>
          <w:color w:val="auto"/>
          <w:kern w:val="2"/>
          <w:sz w:val="32"/>
          <w:szCs w:val="32"/>
          <w:highlight w:val="none"/>
          <w:lang w:val="en-US" w:eastAsia="zh-CN" w:bidi="ar-SA"/>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8.社会保障和就业支出（类）退役军人管理事务（款）事业运行（项）：支出决算为</w:t>
      </w:r>
      <w:r>
        <w:rPr>
          <w:rFonts w:hint="eastAsia" w:eastAsia="仿宋_GB2312" w:cs="仿宋_GB2312"/>
          <w:color w:val="auto"/>
          <w:kern w:val="2"/>
          <w:sz w:val="32"/>
          <w:szCs w:val="32"/>
          <w:highlight w:val="none"/>
          <w:lang w:val="en-US" w:eastAsia="zh-CN" w:bidi="ar-SA"/>
        </w:rPr>
        <w:t>1648.91</w:t>
      </w:r>
      <w:r>
        <w:rPr>
          <w:rFonts w:hint="eastAsia" w:ascii="Times New Roman" w:hAnsi="Times New Roman" w:eastAsia="仿宋_GB2312" w:cs="仿宋_GB2312"/>
          <w:color w:val="auto"/>
          <w:kern w:val="2"/>
          <w:sz w:val="32"/>
          <w:szCs w:val="32"/>
          <w:highlight w:val="none"/>
          <w:lang w:val="en-US" w:eastAsia="zh-CN" w:bidi="ar-SA"/>
        </w:rPr>
        <w:t>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9.社会保障和就业支出（类）退役军人管理事务（款）其他退役军人事务管理支出（项）：支出决算为</w:t>
      </w:r>
      <w:r>
        <w:rPr>
          <w:rFonts w:hint="eastAsia" w:eastAsia="仿宋_GB2312" w:cs="仿宋_GB2312"/>
          <w:color w:val="auto"/>
          <w:kern w:val="2"/>
          <w:sz w:val="32"/>
          <w:szCs w:val="32"/>
          <w:highlight w:val="none"/>
          <w:lang w:val="en-US" w:eastAsia="zh-CN" w:bidi="ar-SA"/>
        </w:rPr>
        <w:t>1048.43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.卫生健康支出（类）行政事业单位医疗（款）事业单位医疗（项）：支出决算为80万元，完成预算100%。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.卫生健康支出（类）优抚对象医疗（款）优抚对象医疗补助（项）：支出决算为930万元，完成预算100%。</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.住房保障支出（类）住房改革支出（款）住房公积金（项）：支出决算为210万元，完成预算100%。</w:t>
      </w:r>
    </w:p>
    <w:p>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2660.88</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2282.91</w:t>
      </w:r>
      <w:r>
        <w:rPr>
          <w:rFonts w:hint="eastAsia" w:ascii="Times New Roman" w:hAnsi="Times New Roman" w:eastAsia="仿宋_GB2312" w:cs="仿宋_GB2312"/>
          <w:color w:val="auto"/>
          <w:kern w:val="2"/>
          <w:sz w:val="32"/>
          <w:szCs w:val="32"/>
          <w:highlight w:val="none"/>
          <w:lang w:val="en-US" w:eastAsia="zh-CN" w:bidi="ar-SA"/>
        </w:rPr>
        <w:t>万元，主要包括：基本工资、机关事业单位基本养老保险缴费、职业年金缴费、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w:t>
      </w:r>
      <w:r>
        <w:rPr>
          <w:rFonts w:hint="eastAsia" w:ascii="Times New Roman" w:hAnsi="Times New Roman" w:eastAsia="仿宋_GB2312" w:cs="仿宋_GB2312"/>
          <w:color w:val="auto"/>
          <w:kern w:val="2"/>
          <w:sz w:val="32"/>
          <w:szCs w:val="32"/>
          <w:highlight w:val="none"/>
          <w:lang w:val="en-US" w:eastAsia="zh-CN" w:bidi="ar-SA"/>
        </w:rPr>
        <w:t>、离休费、抚恤金、住房公积金。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377.97</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万元，主要包括：办公费、水费、电费、邮电费、物业管理费、差旅费、工会经费、福利费、其他商品和服务支出。</w:t>
      </w:r>
    </w:p>
    <w:p>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%，财政拨款“三公”经费支出决算</w:t>
      </w:r>
      <w:r>
        <w:rPr>
          <w:rFonts w:hint="eastAsia" w:eastAsia="仿宋_GB2312" w:cs="仿宋_GB2312"/>
          <w:color w:val="auto"/>
          <w:kern w:val="2"/>
          <w:sz w:val="32"/>
          <w:szCs w:val="32"/>
          <w:highlight w:val="none"/>
          <w:lang w:val="en-US" w:eastAsia="zh-CN" w:bidi="ar-SA"/>
        </w:rPr>
        <w:t>与2024年度决算数持平</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年度财政拨款“三公”经费支出</w:t>
      </w:r>
      <w:r>
        <w:rPr>
          <w:rFonts w:hint="eastAsia" w:eastAsia="仿宋_GB2312" w:cs="仿宋_GB2312"/>
          <w:color w:val="auto"/>
          <w:kern w:val="2"/>
          <w:sz w:val="32"/>
          <w:szCs w:val="32"/>
          <w:highlight w:val="none"/>
          <w:lang w:val="en-US" w:eastAsia="zh-CN" w:bidi="ar-SA"/>
        </w:rPr>
        <w:t>为0，无支出结构图。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w:t>
      </w:r>
      <w:r>
        <w:rPr>
          <w:rFonts w:hint="eastAsia" w:eastAsia="仿宋_GB2312" w:cs="仿宋_GB2312"/>
          <w:color w:val="auto"/>
          <w:kern w:val="2"/>
          <w:sz w:val="32"/>
          <w:szCs w:val="32"/>
          <w:highlight w:val="none"/>
          <w:lang w:val="en-US" w:eastAsia="zh-CN" w:bidi="ar-SA"/>
        </w:rPr>
        <w:t>与2024年度决算数持平。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与2024年度决算数持平</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决算数持平</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77218"/>
      <w:bookmarkStart w:id="35" w:name="_Toc15396610"/>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1771.1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6.3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1742.2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6028.4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中央彩票公益金支出优抚医院能力提升项目为2024年10月财政厅批复下达项目，</w:t>
      </w:r>
      <w:r>
        <w:rPr>
          <w:rFonts w:hint="eastAsia" w:ascii="Times New Roman" w:hAnsi="Times New Roman" w:eastAsia="仿宋_GB2312" w:cs="仿宋_GB2312"/>
          <w:color w:val="auto"/>
          <w:kern w:val="2"/>
          <w:sz w:val="32"/>
          <w:szCs w:val="32"/>
          <w:highlight w:val="none"/>
          <w:lang w:val="en-US" w:eastAsia="zh-CN" w:bidi="ar-SA"/>
        </w:rPr>
        <w:t>2024年度政府性基金预算财政拨款支出</w:t>
      </w:r>
      <w:r>
        <w:rPr>
          <w:rFonts w:hint="eastAsia" w:eastAsia="仿宋_GB2312" w:cs="仿宋_GB2312"/>
          <w:color w:val="auto"/>
          <w:kern w:val="2"/>
          <w:sz w:val="32"/>
          <w:szCs w:val="32"/>
          <w:highlight w:val="none"/>
          <w:lang w:val="en-US" w:eastAsia="zh-CN" w:bidi="ar-SA"/>
        </w:rPr>
        <w:t>28.9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，项目资金剩余部分结转到2025年继续实施，</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大幅增加。</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决算数持平</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，四川省革命伤残军人休养院机关运行经费支出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决算数持平</w:t>
      </w:r>
      <w:r>
        <w:rPr>
          <w:rFonts w:hint="eastAsia" w:ascii="Times New Roman" w:hAnsi="Times New Roman" w:eastAsia="仿宋_GB2312" w:cs="仿宋_GB2312"/>
          <w:color w:val="auto"/>
          <w:kern w:val="2"/>
          <w:sz w:val="32"/>
          <w:szCs w:val="32"/>
          <w:highlight w:val="none"/>
          <w:lang w:val="en-US" w:eastAsia="zh-CN" w:bidi="ar-SA"/>
        </w:rPr>
        <w:t>。主要原因是四川省革命伤残军人休养院</w:t>
      </w:r>
      <w:r>
        <w:rPr>
          <w:rFonts w:hint="eastAsia" w:eastAsia="仿宋_GB2312" w:cs="仿宋_GB2312"/>
          <w:color w:val="auto"/>
          <w:kern w:val="2"/>
          <w:sz w:val="32"/>
          <w:szCs w:val="32"/>
          <w:highlight w:val="none"/>
          <w:lang w:val="en-US" w:eastAsia="zh-CN" w:bidi="ar-SA"/>
        </w:rPr>
        <w:t>是</w:t>
      </w:r>
      <w:r>
        <w:rPr>
          <w:rFonts w:hint="eastAsia" w:ascii="Times New Roman" w:hAnsi="Times New Roman" w:eastAsia="仿宋_GB2312" w:cs="仿宋_GB2312"/>
          <w:color w:val="auto"/>
          <w:kern w:val="2"/>
          <w:sz w:val="32"/>
          <w:szCs w:val="32"/>
          <w:highlight w:val="none"/>
          <w:lang w:val="en-US" w:eastAsia="zh-CN" w:bidi="ar-SA"/>
        </w:rPr>
        <w:t>事业单位，未开支机关运行经费。</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，四川省革命伤残军人休养院政府采购支出总额</w:t>
      </w:r>
      <w:r>
        <w:rPr>
          <w:rFonts w:hint="eastAsia" w:eastAsia="仿宋_GB2312" w:cs="仿宋_GB2312"/>
          <w:color w:val="auto"/>
          <w:kern w:val="2"/>
          <w:sz w:val="32"/>
          <w:szCs w:val="32"/>
          <w:highlight w:val="none"/>
          <w:lang w:val="en-US" w:eastAsia="zh-CN" w:bidi="ar-SA"/>
        </w:rPr>
        <w:t>6975.37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2840.62</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3020.6</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1114.15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rPr>
        <w:t>车辆维修和保养服务、车辆加油服务、机动车保险服务、医疗设备购置、假肢辅助器具配备及维修项目</w:t>
      </w:r>
      <w:r>
        <w:rPr>
          <w:rFonts w:hint="eastAsia" w:ascii="仿宋_GB2312" w:eastAsia="仿宋_GB2312"/>
          <w:sz w:val="32"/>
          <w:szCs w:val="32"/>
          <w:lang w:val="en-US" w:eastAsia="zh-CN"/>
        </w:rPr>
        <w:t>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eastAsia="仿宋_GB2312" w:cs="仿宋_GB2312"/>
          <w:color w:val="auto"/>
          <w:kern w:val="2"/>
          <w:sz w:val="32"/>
          <w:szCs w:val="32"/>
          <w:highlight w:val="none"/>
          <w:lang w:val="en-US" w:eastAsia="zh-CN" w:bidi="ar-SA"/>
        </w:rPr>
        <w:t>2014.29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28.9</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1809.61</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25.9</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年12月31日，四川省革命伤残军人休养院共有车辆</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辆，其他用车主要是用于为伤残军人转诊、办理离退休老同志相关业务、工作人员外出联络、开展有关工作；参加上级组织的医疗任务、业务培训、学术会议；日常行政办公、财务运行、后勤保障等必需公务出行</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default"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根据预算绩效管理要求，四川省革命伤残军人休养院在2025年度，组织对</w:t>
      </w:r>
      <w:r>
        <w:rPr>
          <w:rFonts w:hint="eastAsia" w:eastAsia="仿宋_GB2312" w:cs="仿宋_GB2312"/>
          <w:color w:val="auto"/>
          <w:kern w:val="2"/>
          <w:sz w:val="32"/>
          <w:szCs w:val="32"/>
          <w:highlight w:val="none"/>
          <w:lang w:val="en-US" w:eastAsia="zh-CN" w:bidi="ar-SA"/>
        </w:rPr>
        <w:t>伤残军人康复经费、中央优抚对象抚恤补助经费、优抚对象医疗补助经费、优抚安置事业单位维修改造和设备购置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3375.62</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 xml:space="preserve">组织对14个项目开展绩效自评，绩效自评表详见第四部分附件。 </w:t>
      </w: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pStyle w:val="3"/>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w:t>
      </w:r>
      <w:r>
        <w:rPr>
          <w:rFonts w:hint="eastAsia" w:ascii="仿宋_GB2312" w:eastAsia="仿宋_GB2312"/>
          <w:color w:val="auto"/>
          <w:sz w:val="32"/>
          <w:szCs w:val="32"/>
        </w:rPr>
        <w:t>指事业单位开展专业业务活动及辅助活动取得的收入。如门诊和住院医疗收入等</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r>
        <w:rPr>
          <w:rFonts w:hint="eastAsia" w:ascii="仿宋_GB2312" w:eastAsia="仿宋_GB2312"/>
          <w:color w:val="auto"/>
          <w:sz w:val="32"/>
          <w:szCs w:val="32"/>
        </w:rPr>
        <w:t>主要是</w:t>
      </w:r>
      <w:r>
        <w:rPr>
          <w:rFonts w:hint="eastAsia" w:ascii="仿宋_GB2312" w:eastAsia="仿宋_GB2312"/>
          <w:color w:val="auto"/>
          <w:sz w:val="32"/>
          <w:szCs w:val="32"/>
          <w:lang w:val="en-US" w:eastAsia="zh-CN"/>
        </w:rPr>
        <w:t>康养病人公杂收入、艾滋病扩大检测费、带习带教管理费、</w:t>
      </w:r>
      <w:r>
        <w:rPr>
          <w:rFonts w:hint="eastAsia" w:ascii="仿宋_GB2312" w:eastAsia="仿宋_GB2312"/>
          <w:color w:val="auto"/>
          <w:sz w:val="32"/>
          <w:szCs w:val="32"/>
        </w:rPr>
        <w:t>病历复印查阅费等。</w:t>
      </w:r>
      <w:r>
        <w:rPr>
          <w:rFonts w:hint="eastAsia" w:ascii="Times New Roman" w:hAnsi="Times New Roman" w:eastAsia="仿宋_GB2312" w:cs="仿宋_GB2312"/>
          <w:color w:val="auto"/>
          <w:kern w:val="2"/>
          <w:sz w:val="32"/>
          <w:szCs w:val="32"/>
          <w:highlight w:val="none"/>
          <w:lang w:val="en-US" w:eastAsia="zh-CN" w:bidi="ar-SA"/>
        </w:rPr>
        <w:t xml:space="preserve">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.教育（类）</w:t>
      </w:r>
      <w:r>
        <w:rPr>
          <w:rFonts w:hint="eastAsia" w:eastAsia="仿宋_GB2312" w:cs="仿宋_GB2312"/>
          <w:color w:val="auto"/>
          <w:kern w:val="2"/>
          <w:sz w:val="32"/>
          <w:szCs w:val="32"/>
          <w:highlight w:val="none"/>
          <w:lang w:val="en-US" w:eastAsia="zh-CN" w:bidi="ar-SA"/>
        </w:rPr>
        <w:t>进修及培训</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培训支出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：指与培训有关经费支出。</w:t>
      </w:r>
    </w:p>
    <w:p>
      <w:pPr>
        <w:pStyle w:val="27"/>
        <w:spacing w:line="560" w:lineRule="exact"/>
        <w:ind w:firstLine="640" w:firstLineChars="200"/>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color w:val="auto"/>
          <w:sz w:val="32"/>
          <w:szCs w:val="32"/>
        </w:rPr>
        <w:t>科学技术支出（类）科技重大项目（款）重点研发计划（项）</w:t>
      </w:r>
      <w:r>
        <w:rPr>
          <w:rFonts w:hint="eastAsia" w:ascii="仿宋_GB2312" w:eastAsia="仿宋_GB2312"/>
          <w:color w:val="auto"/>
          <w:sz w:val="32"/>
          <w:szCs w:val="32"/>
          <w:lang w:eastAsia="zh-CN"/>
        </w:rPr>
        <w:t>：</w:t>
      </w:r>
      <w:r>
        <w:rPr>
          <w:rFonts w:hint="eastAsia" w:ascii="仿宋_GB2312" w:eastAsia="仿宋_GB2312"/>
          <w:color w:val="auto"/>
          <w:sz w:val="32"/>
          <w:szCs w:val="32"/>
        </w:rPr>
        <w:t>指重点研发计划的有关经费支出。</w:t>
      </w:r>
    </w:p>
    <w:p>
      <w:pPr>
        <w:pStyle w:val="27"/>
        <w:spacing w:line="560" w:lineRule="exact"/>
        <w:ind w:firstLine="640" w:firstLineChars="200"/>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color w:val="auto"/>
          <w:sz w:val="32"/>
          <w:szCs w:val="32"/>
        </w:rPr>
        <w:t>社会保障和就业支出（类）行政事业单位养老（款）事业单位离退休（项）</w:t>
      </w:r>
      <w:r>
        <w:rPr>
          <w:rFonts w:hint="eastAsia" w:ascii="仿宋_GB2312" w:eastAsia="仿宋_GB2312"/>
          <w:color w:val="auto"/>
          <w:sz w:val="32"/>
          <w:szCs w:val="32"/>
          <w:lang w:eastAsia="zh-CN"/>
        </w:rPr>
        <w:t>：</w:t>
      </w:r>
      <w:r>
        <w:rPr>
          <w:rFonts w:hint="eastAsia" w:ascii="仿宋_GB2312" w:eastAsia="仿宋_GB2312"/>
          <w:color w:val="auto"/>
          <w:sz w:val="32"/>
          <w:szCs w:val="32"/>
        </w:rPr>
        <w:t>指事业单位开支的离退休经费。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11.社会保障和就业支出（类）行政事业单位养老（款）机关事业单位基本养老保险缴费支出（项）：指机关事业单位实施养老制度由单位缴纳的基本养老保险费支出。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12.社会保障和就业支出（类）行政事业单位养老（款）机关事业单位职业年金缴费支出（项）：指机关事业单位实施养老保险制度由单位实际缴纳的职业年金支出。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13.社会保障和就业支出（类）抚恤（款）</w:t>
      </w:r>
      <w:r>
        <w:rPr>
          <w:rFonts w:hint="eastAsia" w:eastAsia="仿宋_GB2312" w:cs="仿宋_GB2312"/>
          <w:color w:val="auto"/>
          <w:kern w:val="2"/>
          <w:sz w:val="32"/>
          <w:szCs w:val="32"/>
          <w:highlight w:val="none"/>
          <w:lang w:val="en-US" w:eastAsia="zh-CN" w:bidi="ar-SA"/>
        </w:rPr>
        <w:t>死亡</w:t>
      </w:r>
      <w:r>
        <w:rPr>
          <w:rFonts w:hint="eastAsia" w:ascii="Times New Roman" w:hAnsi="Times New Roman" w:eastAsia="仿宋_GB2312" w:cs="仿宋_GB2312"/>
          <w:color w:val="auto"/>
          <w:kern w:val="2"/>
          <w:sz w:val="32"/>
          <w:szCs w:val="32"/>
          <w:highlight w:val="none"/>
          <w:lang w:val="en-US" w:eastAsia="zh-CN" w:bidi="ar-SA"/>
        </w:rPr>
        <w:t>抚恤（项）：指</w:t>
      </w:r>
      <w:r>
        <w:rPr>
          <w:rFonts w:hint="eastAsia" w:eastAsia="仿宋_GB2312" w:cs="仿宋_GB2312"/>
          <w:color w:val="auto"/>
          <w:kern w:val="2"/>
          <w:sz w:val="32"/>
          <w:szCs w:val="32"/>
          <w:highlight w:val="none"/>
          <w:lang w:val="en-US" w:eastAsia="zh-CN" w:bidi="ar-SA"/>
        </w:rPr>
        <w:t>按规定用于烈士和牺牲、病故人员家属的一次性和定期抚恤金、丧葬补助费以及烈士褒扬金</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.社会保障和就业支出（类）抚恤（款）伤残抚恤（项）：指按规定用于伤残人员的抚恤金和按规定开支的各种伤残补助费。</w:t>
      </w:r>
    </w:p>
    <w:p>
      <w:pPr>
        <w:pStyle w:val="2"/>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.社会保障和就业支出（类）抚恤（款）其他优抚支出（项）：指其他用于优抚方面的支出。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.社会保障和就业支出（类）退役军人管理事务（款）事业运行（项）：指反映事业单位的基本支出，不包括行政单位（包括实行公务员管理的事业单位）后勤服务中心、医疗室等附属事业单位。    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.社会保障和就业支出（类）退役军人管理事务（款）</w:t>
      </w:r>
      <w:bookmarkStart w:id="61" w:name="_GoBack"/>
      <w:bookmarkEnd w:id="61"/>
      <w:r>
        <w:rPr>
          <w:rFonts w:hint="eastAsia" w:ascii="Times New Roman" w:hAnsi="Times New Roman" w:eastAsia="仿宋_GB2312" w:cs="仿宋_GB2312"/>
          <w:color w:val="auto"/>
          <w:kern w:val="2"/>
          <w:sz w:val="32"/>
          <w:szCs w:val="32"/>
          <w:highlight w:val="none"/>
          <w:lang w:val="en-US" w:eastAsia="zh-CN" w:bidi="ar-SA"/>
        </w:rPr>
        <w:t>其他退役军人</w:t>
      </w:r>
      <w:r>
        <w:rPr>
          <w:rFonts w:hint="eastAsia" w:eastAsia="仿宋_GB2312" w:cs="仿宋_GB2312"/>
          <w:color w:val="auto"/>
          <w:kern w:val="2"/>
          <w:sz w:val="32"/>
          <w:szCs w:val="32"/>
          <w:highlight w:val="none"/>
          <w:lang w:val="en-US" w:eastAsia="zh-CN" w:bidi="ar-SA"/>
        </w:rPr>
        <w:t>事务管理支出</w:t>
      </w:r>
      <w:r>
        <w:rPr>
          <w:rFonts w:hint="eastAsia" w:ascii="Times New Roman" w:hAnsi="Times New Roman" w:eastAsia="仿宋_GB2312" w:cs="仿宋_GB2312"/>
          <w:color w:val="auto"/>
          <w:kern w:val="2"/>
          <w:sz w:val="32"/>
          <w:szCs w:val="32"/>
          <w:highlight w:val="none"/>
          <w:lang w:val="en-US" w:eastAsia="zh-CN" w:bidi="ar-SA"/>
        </w:rPr>
        <w:t>（项）：指其他用于退役军人事务管理方面的支出。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18.卫生健康支出（类）行政事业单位医疗（款）事业单位医疗（项）：指财政部门安排的事业单位基本医疗保险缴费经费。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19.卫生健康支出（类）优抚对象医疗（款）优抚对象医疗补助（项）：指按规定补助优抚对象的医疗经费。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20.住房保障支出（类）住房改革支出（款）住房公积金（项）：指行政事业单位按人力资源和社会保障部、财政部规定的基本工资和津贴补贴以及规定比例为职工缴纳的住房公积金。</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w:t>
      </w:r>
      <w:r>
        <w:rPr>
          <w:rFonts w:hint="eastAsia" w:ascii="Times New Roman" w:hAnsi="Times New Roman" w:eastAsia="仿宋_GB2312" w:cs="仿宋_GB2312"/>
          <w:color w:val="auto"/>
          <w:kern w:val="2"/>
          <w:sz w:val="32"/>
          <w:szCs w:val="32"/>
          <w:highlight w:val="none"/>
          <w:lang w:val="en-US" w:eastAsia="zh-CN" w:bidi="ar-SA"/>
        </w:rPr>
        <w:t>支出（类）</w:t>
      </w:r>
      <w:r>
        <w:rPr>
          <w:rFonts w:hint="eastAsia" w:eastAsia="仿宋_GB2312" w:cs="仿宋_GB2312"/>
          <w:color w:val="auto"/>
          <w:kern w:val="2"/>
          <w:sz w:val="32"/>
          <w:szCs w:val="32"/>
          <w:highlight w:val="none"/>
          <w:lang w:val="en-US" w:eastAsia="zh-CN" w:bidi="ar-SA"/>
        </w:rPr>
        <w:t>彩票公益金安排的支出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用于社会福利的彩票公益金支出</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用于社会福利和社会救助的彩票公益金支出。</w:t>
      </w:r>
    </w:p>
    <w:p>
      <w:pPr>
        <w:pStyle w:val="2"/>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w:t>
      </w:r>
      <w:r>
        <w:rPr>
          <w:rFonts w:hint="eastAsia" w:eastAsia="仿宋_GB2312" w:cs="仿宋_GB2312"/>
          <w:color w:val="auto"/>
          <w:kern w:val="2"/>
          <w:sz w:val="32"/>
          <w:szCs w:val="32"/>
          <w:highlight w:val="none"/>
          <w:lang w:val="en-US" w:eastAsia="zh-CN" w:bidi="ar-SA"/>
        </w:rPr>
        <w:t>单位</w:t>
      </w:r>
      <w:r>
        <w:rPr>
          <w:rFonts w:hint="eastAsia" w:ascii="Times New Roman" w:hAnsi="Times New Roman" w:eastAsia="仿宋_GB2312" w:cs="仿宋_GB2312"/>
          <w:color w:val="auto"/>
          <w:kern w:val="2"/>
          <w:sz w:val="32"/>
          <w:szCs w:val="32"/>
          <w:highlight w:val="none"/>
          <w:lang w:val="en-US" w:eastAsia="zh-CN" w:bidi="ar-SA"/>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燃料费、维修费、过路过桥费、保险费等支出；公务接待费反映单位按规定开支的各类公务接待（含外宾接待）支出。</w:t>
      </w:r>
    </w:p>
    <w:p>
      <w:pPr>
        <w:spacing w:line="600" w:lineRule="exact"/>
        <w:jc w:val="center"/>
        <w:rPr>
          <w:rStyle w:val="29"/>
          <w:rFonts w:hint="eastAsia" w:ascii="Times New Roman" w:hAnsi="Times New Roman" w:eastAsia="黑体"/>
          <w:b w:val="0"/>
          <w:color w:val="auto"/>
          <w:highlight w:val="none"/>
          <w:lang w:eastAsia="zh-CN"/>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tbl>
      <w:tblPr>
        <w:tblStyle w:val="16"/>
        <w:tblW w:w="505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5"/>
        <w:gridCol w:w="593"/>
        <w:gridCol w:w="1069"/>
        <w:gridCol w:w="1028"/>
        <w:gridCol w:w="424"/>
        <w:gridCol w:w="871"/>
        <w:gridCol w:w="781"/>
        <w:gridCol w:w="864"/>
        <w:gridCol w:w="490"/>
        <w:gridCol w:w="671"/>
        <w:gridCol w:w="1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51000021T000000081099-伤残军人康复经费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军人抚恤优待条例》《残疾军人康复辅助器具配置暂行办法》和《关于做好全省残疾军人康复辅助器具配置工作的通知》等有关规定向全省各地市州退役军人事务局审批合格的申请表向伤残军人提供假肢及康复辅具配置服务。同时，为创新发展伤残军人的康复事业，实现更好为伤残军人服务的宗旨，将现代康复医学评估、治疗和训练方法引入假肢、辅具配置工作中，为伤残军人提供更全面、科学的康复辅具配置服务。</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按照相关管理办法，依申请按时完成当年假肢及康复辅助器具的配置和维修工作。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依申请完成当年假肢及康复辅助器具的配置和维修工作，共完成各类配置237人。资金162.58万元全部执行完成。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162.58</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提供假肢辅具制作及维修的伤残军人人数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制作假肢及康复辅具质量合格率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伤残军人生活方便度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伤残军人假肢及康复辅具制作难问题改善情况</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假肢辅具使用年限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1625783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1625783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97分，项目各项指标均完成并达到既定标准，假肢矫形器制作、康复辅具配置等核心工作均按要求落实到位。但在配置过程中，部分残疾军人申请了政策范围目录外的器具，相关审批环节的审核与把控仍需进一步加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部分残疾军人申请不在政策范围目录内的器具无法充分满足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定期收集残疾军人目录外辅具申请需求并分类汇总，向上级部门反馈以推动政策目录动态更新；对暂无法纳入的品类，向申请人做好政策解释与替代方案推荐工作。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项目负责人：胡博震</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4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6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96"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0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5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9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84"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7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51000025Y000013087364-伤残军人康复经费311903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军人抚恤优待条例》《残疾军人康复辅助器具配置暂行办法》和《关于做好全省残疾军人康复辅助器具配置工作的通知》等有关规定，为全省伤残军人提供假肢及康复辅具配置服务，我单位2025年投入150万元，将现代康复医学评估、治疗和训练方法引入假肢、辅具配置工作中，为伤残军人提供更全面、科学的康复辅具配置服务。</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按照相关管理办法，依申请按时完成当年假肢及康复辅助器具的配置和维修工作。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依申请完成当年假肢及康复辅助器具的配置和维修工作，共完成各类配置203人。资金150万元全部执行完成。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提供假肢辅具制作及维修的伤残军人人数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制作假肢及康复辅具质量合格率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伤残军人假肢及康复辅具制作难问题改善情况</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伤残军人生活方便度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假肢辅具使用年限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98分，项目各项指标均完成并达到既定标准，假肢矫形器制作、康复辅具配置等核心工作均按要求落实到位。针对重度残疾、高龄残疾军人提供的上门服务，取得了良好的社会效益，也收获了较高的服务满意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加强预算总额的预估精准度，避免资金不足。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强化预算编制的需求调研环节，联合基层服务站点收集一手数据。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项目负责人：胡博震</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51000022T000000392218-中央优抚对象抚恤补助经费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根据《军人抚恤优待条例》《关于调整部分优抚对象等人员抚恤和生活补助标准的通知》等文件，通过发放优抚对象抚恤补助资金，使优抚对象的基本生活得到有效保障，体现党和政府对优抚对象的关心关爱。</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通过发放优抚对象抚恤补助资金，使优抚对象的基本生活得到有效保障，体现党和政府对优抚对象的关心关爱。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军人抚恤优待条例》《关于调整部分优抚对象等人员抚恤和生活补助标准的通知》等文件，我院2025年投入895.74万元，通过发放优抚对象抚恤补助资金，使优抚对象的基本生活得到有效保障，体现党和政府对优抚对象的关心关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895.74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906.69</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882.21</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97.30%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根据川财社〔2025〕104号，由于有伤残军人病故，现下达中央财政抚恤补助资金10.95万元。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895.74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906.69</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882.21</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97.30%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发放优抚对象抚恤补助资金人数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优抚对象抚恤补助资金标准按规定执行率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优抚对象抚恤补助资金及时拨付率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优抚对象生活情况有效改善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99分，本项目通过发放中央优抚对象抚恤补助经费，以及发放去世伤残军人一次性伤残抚恤补助经费，使优抚对象基本生活得到有效保障，体现党和政府对优抚对象的关心关爱。抚恤优待政策落实率为100%；经费足额拨付率为100%；优抚对象抚恤补助标准按规定执行率为100%；优抚对象抚恤补助资金及时拨付率为100%；优抚对象生活情况有效改善；对优抚对象权益的保障作用良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项目负责人：唐海涛</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51000025Y000013070755-省级在院休养员生活补助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我单位2025年投入250万元,用于发放伤残军人生活补助，改善伤残军人生活水平。</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为集中供养伤残军人按时发放生活补助，切实保障伤残军人待遇，体现党和政府对优抚对象的关心关爱。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接收文件后按照伤残性质等级对照《四川省退役军人事务厅 四川省财政厅关于调整2025年省级在院休养员生活补助标准的通知》的通知，逐一核实伤残军人伤残性质、等级，并逐一按照调整生活补助标准。按照标准于2025年7月1日起调整生活补助，补发5个月，共计补发：975元，2025年11月起按照调整后生活补助标准来逐月、足额发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237.05</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98.77%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237.05</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98.77%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发放伤残军人生活补助人数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优抚对象抚恤补助资金标准按规定执行率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伤残军人生活补助资金及时拨付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提升伤残军人生活保障水平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237.05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99分，休养员生活补助符合相关政策比率为100%；休养员生活补助及时拨付率为100%；优抚对象生活情况有效改善；对优抚对象权益的保障作用良好；促进双拥工作，项目资金主要用于发放集中供养休养员生活补助。通过发放休养员生活补助，落实党和政府对优抚对象的关心关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项目负责人：唐海涛</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51000025Y000013081928-优抚对象医疗补助经费311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四川省优抚对象医疗保障办法》《四川省一至六级残疾军人医疗保障实施办法》等文件精神，我单位2025年预计投入930万元，通过为76名集中供养伤残军人提供各种老年慢性疾病诊疗、伤情导致行动不便造成的严重压疮诊治、血液透析等医疗服务，以及为病重伤残军人提供华西等院外治疗服务，有效解决优抚对象医疗难问题。</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通过为集中供养伤残军人提供各种老年慢性疾病诊疗、伤情导致行动不便造成的严重压疮诊治、血液透析等医疗服务，以及为病重伤残军人提供华西等院外治疗服务，有效解决优抚对象医疗难问题。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照《军人抚恤优待条例》和《退役军人保障法》，1-4级伤残军人享受医疗费补贴，院外住院治疗，给予专人陪护，让他们切实感受到党和政府医疗保障，使伤残军人伤病得到及时救治，维护了残疾军人休养、医疗各项权益。通过为集中供养伤残军人提供各种老年慢性疾病诊疗、伤情导致行动不便造成的严重压疮诊治、血液透析等医疗服务，以及为病重伤残军人提供华西等院外治疗服务，有效解决优抚对象医疗难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享受医疗待遇优抚对象人数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优抚对象医疗补助标准按规定执行率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优抚对象医疗难问题改善情况</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100分，本项目通过发放优抚对象医疗补助经费，使优抚对象享受医疗待遇，体现党和政府对优抚对象的关心关爱。经费足额拨付率为100%；优抚对象医疗补助标准按规定执行率为100%；优抚对象医疗保障经费及时拨付率为100%；优抚对象就医情况有效改善；对优抚对象权益的保障作用良好；促进双拥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因伤残军人年龄大、伤残病痛增加、我院治疗条件不足。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及时联系华西、省医院、西部战区总医院、成都医学院第一附属医院，派专车、医生、护士及时转运住院，并安排专人给予护理，切实保障医疗救治服务。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项目负责人：唐海涛</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51000025T000012280172-伤残军人晚期疾病的安宁疗护智慧管理技术研究与临床应用示范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研伤残军人及家属的安宁疗护现状及需求，军人医院员工安宁疗护知识掌握现状及需求；研究安宁疗护相关指南、规范，开展安宁疗护知识、技能学习；研究目前医院应用的物联网传感设备和其它健康监测设备的应用情况。将病人信息采集设备集成到系统中，进行临床实测；在数据处理中心进行智能算法研究；完成智能安宁疗护相关、规范、操作流程等。优化改进智能疗护的应用；评价应用效果；完成智能疗护系统的联动功能。完善整个智能疗护系统；研究拟定伤残军人安宁疗护服务相关的标准；总结伤残军人安宁疗护知识、制定应用效果评价体系，进行行业推广。</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调研伤残军人及家属的安宁疗护现状及需求，军人医院员工安宁疗护知识掌握现状及需求；开展了安宁疗护知识、技能学习，培养了6名医务人员。研究目前医院应用的物联网传感设备和其它健康监测设备的应用情况，搭建了智慧安宁疗护病房建设配置体系，增加可穿戴设备数据采集与集成处于研究中，现有的运行数据还需完善；已经提交了团体标准立项申请，待审；发表了4篇论文，还有3篇已经投稿。还有1项发明专利、2项实用新型专利未受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启动后，组建专项研究团队，分阶段推进各项工作。首先开展全面调研，通过问卷、访谈等形式，系统收集伤残军人及家属的安宁疗护需求、认知程度，同步调研院内员工安宁疗护知识与技能掌握现状，组织医务人员开展安宁疗护知识专题培训，成功培养6名具备专业素养的安宁疗护医务人员。同步，梳理国内外安宁疗护相关指南与规范，结合医院现有物联网传感设备、健康监测设备的应用实际，开展设备兼容性与数据采集可行性研究，搭建起智慧安宁疗护病房建设配置体系，明确设备集成标准与运行流程。研究中，积极推进研究成果转化，完成团体标准立项申请提交，发表相关学术论文4篇，3篇论文处于投稿审核阶段。项目实施过程中，严格遵循科研伦理规范，定期开展项目进度督查与质量管控，确保各项研究任务按计划落地，累计服务12名伤残军人，实现预期服务目标与质量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10.84</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2025年研究进度已经完成，该项目研究截止时间2026年6月30日，该项目已结转到2026年继续实施。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10.84</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服务伤残军人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保障工作正常开展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2025年研究进度已经完成，该项目研究截止时间2026年6月30日。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提高疾病晚期伤残军人终末期生活质量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临床样本采集</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10.84</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该项目研究截止时间2026年6月30日，力争在6月30日前支付完资金。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w:t>
            </w:r>
            <w:r>
              <w:rPr>
                <w:rStyle w:val="40"/>
                <w:lang w:val="en-US" w:eastAsia="zh-CN" w:bidi="ar"/>
              </w:rPr>
              <w:t>94</w:t>
            </w:r>
            <w:r>
              <w:rPr>
                <w:rFonts w:hint="eastAsia" w:ascii="宋体" w:hAnsi="宋体" w:eastAsia="宋体" w:cs="宋体"/>
                <w:i w:val="0"/>
                <w:iCs w:val="0"/>
                <w:color w:val="000000"/>
                <w:kern w:val="0"/>
                <w:sz w:val="18"/>
                <w:szCs w:val="18"/>
                <w:u w:val="none"/>
                <w:lang w:val="en-US" w:eastAsia="zh-CN" w:bidi="ar"/>
              </w:rPr>
              <w:t>分。已完成伤残军人及家属安宁疗护需求调研、6名医务人员技能培养，搭建智慧病房配置体系，发表4篇论文，提交团体标准立项申请，服务12名伤残军人，满意度达95%，有效提升了终末期伤残军人生活质量，各项绩效指标均达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可穿戴设备数据采集与集成仍在研究，运行数据需完善；1项发明专利、2项实用新型专利未受理，部分研究成果转化滞后。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加快研究进度，完善可穿戴设备数据集成与运行数据补充；加强与专利受理部门沟通，推进专利申报流程；合理规划资金使用，在2026年6月30日前完成剩余资金支付，提升预算执行效率。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项目负责人：杜昌群</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51000025Y000013073677-课题经费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单位2025年投入10万元开展西部地区优抚医院康复医学科学科建设示范课题，引领模式探索,建立示范引领模式，提升西部地区优抚医院的服务能力，促进资源优化配置和经验交流共享，推动协同进步。同时，开展五音疗法联合六磨汤治疗伤残军人功能性便秘（气秘）的疗效观察。</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区域型优抚医院康复医学科学科建设模式示范引领探索”已经通过专业验收评审，顺利结题；“五音疗法联合六磨汤治疗伤残军人功能性便秘（气秘）的疗效观察”研究进展顺利，符合预期，已经向省厅政策法规处汇报了研究进度，该课题研究截止时间为2026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围绕两项课题，制定详细研究计划并有序推进。针对“区域型优抚医院康复医学科学科建设模式示范引领探索”课题，研究以四川省第一退役军人医院为实证基地，遵循“问题诊断-策略设计-实践验证-模式提炼”的逻辑主线。通过文献与案例研究奠定基础，并首创覆盖医务人员、优抚对象、区域同行的“三维需求调研体系”，精准诊断发展短板，推进了六项核心实践研究：1.构建三维需求调研体系，实现精准定位；2.创新“三维联动”实习生带教模式，融合人才培养与学科建设；3.设计含复合激励的骨科早期康复协作方案，打破院内协同壁垒；4.开展巡回医疗与全媒体科普，构建服务下沉与认知提升网络；5.系统拓展服务项目并深化技术设备应用，提升服务供给能力；6.牵头组建跨省域康复专科联盟，搭建制度化区域协同平台。基于上述实践，研究凝练形成了以“数据驱动的精准定位、闭环培养的人才梯队、制度保障的多科协作、线上线下结合的社会服务、技术赋能的项目拓展、平台引领的区域整合”为核心的“六维一体”示范建设模式。最终完成课题研究报告编制，发表2篇论文，并通过专业验收评审顺利结题。对于“五音疗法联合六磨汤治疗伤残军人功能性便秘（气秘）的疗效观察”课题，严格遵循临床研究规范，制定科学的纳入与排除标准，筛选符合条件的伤残军人研究对象，设计随机对照研究方案。在临床实施阶段，规范开展五音疗法干预与六磨汤用药指导，定期记录研究对象的症状改善情况、生理指标变化，建立完整的临床研究数据库。该项目研究截止时间为2026年11月，已向省厅政策法规处汇报2025年研究进展，严格把控研究数据的真实性与完整性，确保课题按既定时间节点稳步推进，目前研究进展符合预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开展课题研究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“区域型优抚医院康复医学科学科建设模式示范引领探索”已经通过专业验收评审，顺利结题；“五音疗法联合六磨汤治疗伤残军人功能性便秘（气秘）的疗效观察”研究截止时间为2026年11月。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成果服务于伤残军人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是</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100分，顺利完成“区域型优抚医院康复医学科学科建设模式示范引领探索”课题结题，另一项课题研究进展符合预期，达成2个课题研究目标，验收合格率100%，成果可有效服务伤残军人，助力西部地区优抚医院服务能力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“五音疗法联合六磨汤治疗伤残军人功能性便秘（气秘）的疗效观察”课题研究截止时间为2026年11月，需持续推进。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严格按照2026年11月截止时间推进剩余课题研究，确保研究质量。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项目负责人：杜昌群</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4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6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96"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0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5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9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84"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7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51000023Y000008024449-单位运转项目（311903）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关于加强军人军属、退役军人和其他优抚对象优待工作的意见》等文件精神，满足革命伤残军人因年龄较大、残情重，院内、院外的服务需求，提高伤残军人幸福感；为退役军人、集中供养伤残军人及其他重点优抚对象和社会群众提供更好的医疗服务保障；更好地为全省重点优抚对象开展巡诊活动；根据《三级医院评审标准实施细则》，为医务人员参与科研工作，提供适当的经费、条件和设施，积极引进人才，对全院标识标牌进行更新及完善；按照《财政部国家卫生健康委、国家医疗保障局关于全面推行医疗收费电子票据管理改革的通知》等文件精神，进行信息化升级改造。</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计划完成5个及以上软件系统的安装或建设。实际完成项目包括：输血减免服务软件建设、院感感控工作间软件建设、智能审方及规则自定义软件建设、艾滋病上传接口改造工程、国家传染病智能监测软件接入建设。已按计划完成5个软件系统的建设任务，达成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我院采购项目严格按照院内内控制度、采购相关管理办法的原则进行招采，顺利完成项目采购，各项目按时落地。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10,817.52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9,268.24</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8,278.63</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8.93</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1.遵从市场运行规律，部分项目供应商报价出现超预期低值，故偏低，但仅较90%低0.68个百分点。                            2.川退役军人发〔2025〕54号调减2023年已结转到2025年继续实施政府采购智慧医院项目717.16万元；川退役军人发〔2025〕85号调增非政府采购维修（护）费100万元；川退役军人发〔2025〕100号调减专用材料、政府采购维修（护）费275.12万元；川退役军人发〔2025〕105号调减人才引进培养经费、专用材料费等687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731.35</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731.35</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731.35</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10,086.17</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8,536.89</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7,547.28</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88.41%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安装软件系统数量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为伤残军人外出活动提供医疗保障的次数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党课宣讲场次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场次</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接待来院参观荣军博物馆人数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20503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软件系统质量合格率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为伤残军人服务完成率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伤残军人群体稳定性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持续提高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持续提高</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改造后软件水平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不断提高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不断提高</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社会病人满意度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社会病人满意度</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购置信息化软件系统成本控制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74.65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94.93</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94.93分，我院软件建设项目通过广泛意见征询，集体协商决策的方式推进项目的启动、准备、实施、落地，保障了项目能够满足相关应用科室的实际应用需求，同时通过多方面的监督、督促保障了项目建设的进度，2025年度软件建设工作，顺利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信息人力资源薄弱，项目跟进力量稍欠缺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目前我院已通过与相关部门合作新招聘见习工作人员配合信息化业务推进，希望此办法来年坚持开展。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项目负责人：段凯舰</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51000025Y000013084516-政务信息化项目运行维护费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预计投入89.16万元，通过采购方式确定专业运营机构开展信息化项目运行维护，保障需年度维保系统的正常运行，达到我院信息化资源合理分配和管理，减少资源浪费。通过信息化医疗管理平台达到医疗流程数字化的目的，并通过信息化管理平台，实现人员、物资、财务等资源的实时监控和调配，提高资源利用率，实现让数据多跑路，人员少跑路的科学办公，避免传统纸质文档的重复制作和传递，节约办公耗材等经济成本和审批时间成本。</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计划完成13个及以上信息系统的维护保障工作。实际提供持续运维保障的系统包括但不限于：HIS系统、EMR电子病历系统、LIS检验系统、PACS影像系统、心电系统、体检系统、血透系统、医院感染管理系统、官方网站、灾备系统、OA系统、设备及固定资产管理系统、重症监护系统等。已完成对13个及以上核心信息系统的全面维护，保障了其全年稳定、安全运行，达成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我院参照《省级政务信息化项目运行维护费管理办法》中对相关运行维护费用的标准制定我院运行维护费用采购费用基础，严格按照院内内控制度、采购相关管理办法的原则进行招采，同时结合具体项目的不同要求制定招采方案，保障软件的运行安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89.16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62.59</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43.69</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1.信息化维保服务内容逐年推进，部分项目进度和资金支付进度为跨年支付，故支付占比较预计偏低。                                2.川退役军人发〔2025〕100号，调减已采购运维结余资金16.03万元；川退役军人发〔2025〕105号，根据2025年全年开展运维情况，调减运维资金10.54万元。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89.16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62.59</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43.69</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系统维护（软件）数量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运维人员配备数量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系统故障排除率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系统故障率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系统更新升级及时率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运维平均响应时间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分钟</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系统功能模块使用率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系统正常使用年限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使用人员满意度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92.21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96.98</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96.98分，我院软件信息化维保项目通过信息化医疗管理平台达到医疗流程数字化的目的，实现人员、物资、财务等资源的实时监控和调配，提高资源利用率，实现让数据多跑路，人员少跑路的科学办公，避免传统纸质文档的重复制作和传递，节约办公耗材等经济成本和审批时间成本，2025年信息化维保工作顺利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信息人力资源薄弱，项目跟进力量稍欠缺。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目前我院已通过与相关部门合作新招聘见习工作人员配合信息化业务推进，希望此办法来年坚持开展。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项目负责人：段凯舰</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4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6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96"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0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5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9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84"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7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51000023T000007998735-优抚安置事业单位维修改造和设备购置（311903）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发挥多功能楼（大礼堂）的作用，更好开展继续教育培训、技能实训、学术交流，促进人才队伍建设，助力三级综合医院和跨区域型优抚医院创建，拟对多功能楼进行维修改造，并增添必要的设施.。同时，对历史文物建筑东楼进行保护性修缮，保护历史文物价值。</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多功能楼保护维修项目完成100%，东楼保护维修项目完成了项目整体的100%。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多功能楼（大礼堂）与东楼建筑为四川省不可移动文物、成都市历史建筑，建于50年代，为砖木结构建筑，多功能楼（大礼堂）保护维修项目对该建筑进行保护维修，施工面积 3110平方米，工期为总日历天数为395天。保护维修涉及木结构维修、舞台恢复、座椅修复、强电弱电改造、结构加固等施工内容。维修后该建筑将成为集展陈、会议、示教、演绎等为一体的多功能楼；                                                                                                                   东楼保护维修项目是对东楼建筑进行保护维修，施工工期约为150天，施工面积:1954.40 ㎡，项目涉及土建、强电、弱电、设施设备安装等施工内容。通过修缮保护历史建筑，拓展四川荣军博物馆展区，开展廉洁教育和党史教育，符合提升医院能力建设需求。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451.14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392.87</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383.46</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97.60%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9.76</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1.项目二类费用的中标金额与财评预算金额有差异，年底退回财政结余资金9.41万元。工程咨询服务、工程造价咨询服务、设计技术审查咨询、工程设计均在项目财政评审前完成招标。                            2.根据川财社〔2025〕106号，调减东楼保护修缮工程政府采购结余58.26万元。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451.14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392.87</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383.46</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97.60%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购置医疗设备数量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工程完工时间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设备安装到位时间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可持续发展指标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伤残军人医疗保障水平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持续提高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持续提高</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伤残军人就医环境</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持续改善</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持续改善</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社会病人满意度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451.14</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383.46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99.76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项目自评99.76分，大礼堂项目、东楼项目均已完成竣工验收，投入使用；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中二类费用的中标金额与财评预算金额有差异。在项目推进过程中，工程咨询服务、工程造价咨询服务、设计技术审查咨询、工程设计均需在项目财政评审前完成招标，招标的金额与最终的财评金额存在差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在未来年度资金项目确定绩效指标时，应全面评估项目的可行性与实施周期，以防时间紧迫及项目复杂导致进展迟缓，从而避免目标完成度不佳的情况，另及时向财务进行预算调整沟通。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项目负责人：龙晓勇</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51000024T000012003187-优抚安置事业单位维修改造和设备购置（医养结合中心改造）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将原休养大楼改建为医养结合服务病房、康复训练室、文化活动和营养配餐等辅助用房，更换老化电梯，增加暖通、消防系统以及病房配套设施设备等，主要服务对象为退役军人、重点优抚对象。为了满足医养结合服务需求，另需对周边环境及庭院园林等进行环境改造。</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医养结合中心改造项目完成100%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项目是将我院老休养大楼改造为医养结合中心，用于开展医养结合服务。房屋改造建筑面积12777平方米，设计床位346张，周边环境改造面积12997平方米。改造内容涉及：1.主体建筑老旧门窗更换、装饰装修；2.电梯、楼梯等通道设施设备更换、改造；3.电力、消防等功能设施设备改造；4.扶手、呼救呼叫、监控、供氧等医疗设备设施改造；5.外环境景观、休闲设施改造；6.病房家具、衣柜等设备设施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3,751.48</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3,207.62</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3,127.39</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97.50%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9.75</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napToGrid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1.项目二类费用的中标金额与财评预算金额有差异，年底退回财政结余资金80.23万元。工程咨询服务、工程造价咨询服务、设计技术审查咨询、工程设计均在项目财政评审前完成招标。                           2.根据川财社〔2025〕78号，调减医养结合中心改造工程政府采购结余543.86万元。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3,751.48</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3,207.62</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3,127.39</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97.50%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项目改造面积</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12777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平方米</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12777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环境改造面积</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12997</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平方米</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12997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项目按计划完工率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新增结构加固工程，新增消防楼梯工程。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优抚医疗养老服务能力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明显提升</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明显提升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社会病人满意度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3207.62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3127.39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98.35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项目自评98.35分，医养结合中心改造项目已完成竣工验收，投入使用。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是项目中二类费用的中标金额与财评预算金额有差异。在项目推进过程中，工程咨询服务、工程造价咨询服务、设计技术审查咨询、工程设计均需在项目财政评审前完成招标，招标的金额与最终的财评金额存在差异。二是项目未按合同原定时间计划竣工。项目新增结构加固工程、消防楼梯工程等延长了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在未来年度资金项目确定绩效指标时，应全面评估项目的可行性与实施周期，以防时间紧迫及项目复杂导致进展迟缓，从而避免目标完成度不佳的情况，另及时向财务进行预算调整沟通。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项目负责人：龙晓勇</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43"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6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96"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4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505"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52"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49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284"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389"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c>
          <w:tcPr>
            <w:tcW w:w="720" w:type="pct"/>
            <w:tcBorders>
              <w:top w:val="nil"/>
              <w:left w:val="nil"/>
              <w:bottom w:val="nil"/>
              <w:right w:val="nil"/>
            </w:tcBorders>
            <w:shd w:val="clear" w:color="auto" w:fill="auto"/>
            <w:noWrap/>
            <w:vAlign w:val="center"/>
          </w:tcPr>
          <w:p>
            <w:pPr>
              <w:snapToGrid w:val="0"/>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51000024T000012076501-中央专项彩票公益金支持优抚医院能力提升项目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通过购置常用医疗（康复）设备，以及与大型设备正常运行直接相关的环境改造，提升优抚医院服务能力，更好满足残疾退役军人等优抚对象医疗和供求需求。</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了CT房屋防护改造及设备搬迁服务项目，完成了高压氧舱、血管内超声系统、主动脉内球囊反搏泵、血管内冲击波治疗设备、电子鼻咽喉镜、电子胃肠镜、富血小板血浆提取系统、视频眼震图仪等263台设备的采购验收工作。执行专项资金1800万元，单位资金46.13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包含维修改造和设备购置两个方面。2024年8月中央财政资金能力提升项目工作领导小组组织召开现场讲解会，邀请已报名参与电子鼻咽喉镜、强脉冲光治疗仪等设备调研工作的25家厂商到院进行现场讲解，充分了解产品的性能、配置、质保、使用年限等参数，为后续参数制定和售后服务要求提供重要参考。9月上旬完成科室走访，要求临床科室进一步明确参数需求，医学装备部根据调研情况和科室实际需求对部分设备预算进行调增或调减。优先实施医疗设备购置和CT房屋防护改造及设备搬迁服务项目。CT房屋防护改造及设备搬迁服务项目已于10月14日招标完成。医疗设备购置项目已于2025年2月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1,827.03</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1,817.23</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99.46%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9.95</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根据川退役军人发〔2025〕85号，调减预算100万元用于单位日常维修；根据川退役军人发〔2025〕100号，调减该项目涉及的医疗设备政府采购结余资金182.97万元。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1,771.10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1,771.10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1,771.10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338.90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55.93</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46.13</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82.48%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购置医疗设备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新增医疗设备运行率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计划新增医疗设备实际配置率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中央专项彩票公益金及时拨付率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优抚医院诊疗服务能力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明显提升</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明显提升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优抚对象门诊和住院满意度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96.69</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集中供养优抚对象门诊和住院满意度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1855.93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1817.23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99.95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99.95分，通过中央专项彩票公益金的执行，很好的解决了我院医疗（康复）设备需求，提升我院的整体诊疗水平，较好的完成了年度目标任务，提升了为集中供养残疾军人、退役军人、其他优抚对象以及广大人民群众服务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1.设备购置项目整体进展较慢，未能在2024年完成。2.高压氧舱设备受房屋工程项目影响导致在2025年底才完成货物验收，还需待成都市特检院验收后才能投入使用。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加快需求论证和院内审批程序，加快其他项目的推进进度。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项目负责人：刘俊</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51000025Y000013085141-设备购置经费311903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2025年预算243.76万元，通过购置医疗、办公等设备，进一步保障集中供养残疾军人、退役军人、其他优抚对象以及广大人民群众健康，推动医院各方面工作健康发展。</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空调、打孔装订一体机、人脸识别终端、伤残军人护理病床、会议电视终端、空气消毒机、红外线理疗灯、药品追溯码智能扫码一体机等一批医疗设备，采购办公桌椅、越野车等共计47台件，执行预算70.04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根据科室预算，按照我院采购管理制度实施，解决临床及医院发展设备购置需求。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243.76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88.01</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70.04</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79.58%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7.96</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1.设备购置经费其中一部分为单位运转过程中处理设备突然故障的应急资金，未发生损坏便未实施采购。                                 2.按照单位实际情况，2025年不再购买救护车及UPS电源，根据川退役军人发〔2025〕100号调减预算65.75万元；单位运转过程中，无突然损坏设备，根据川退役军人发〔2025〕105号，调减应急采购设备资金90万元。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243.76</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88.01</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70.04</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79.58%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购置设备数量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台（套）</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提升履职能力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设备使用年限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使用人员满意度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178.01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70.04</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97.96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项目自评97.96分，通过设备购置经费的实施，很好的解决了我院紧急设备采购需求，确保单位运转顺利，较好的完成了年度目标任务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在设备购置数量及总预算金额存在一定问题，但作为医疗机构，在遇到上级和行业规范要求的情况下会有需要紧急采购的设备的情况。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充分考虑医院实际情况，尽可能让预算更加准确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项目负责人：刘俊</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6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96"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52"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49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84"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89"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720" w:type="pct"/>
            <w:tcBorders>
              <w:top w:val="nil"/>
              <w:left w:val="nil"/>
              <w:bottom w:val="nil"/>
              <w:right w:val="nil"/>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51000025Y000013088830-优抚安置事业单位维修改造和设备购置311903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四川省退役军人事务厅部门</w:t>
            </w:r>
          </w:p>
        </w:tc>
        <w:tc>
          <w:tcPr>
            <w:tcW w:w="499" w:type="pct"/>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 （盖章）</w:t>
            </w:r>
          </w:p>
        </w:tc>
        <w:tc>
          <w:tcPr>
            <w:tcW w:w="13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四川省革命伤残军人休养院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项目基本情况</w:t>
            </w: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1.项目年度目标完成情况</w:t>
            </w: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项目年度目标</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2420" w:type="pct"/>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为单位运转采购一批医疗设备、电脑、打印机、安检设备、发电机组等设备，完善医养结合中心配套家具、病床、空调等设备，推动医院各方面工作健康发展，更好满足残疾退役军人等优抚对象和群众的医疗养老需求</w:t>
            </w:r>
          </w:p>
        </w:tc>
        <w:tc>
          <w:tcPr>
            <w:tcW w:w="189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了医疗设备、空调、电脑、打印机、办公家具、安检设备、发电机组等2000余台件设备及维修改造的采购工作，加强了业务发展和医养结合中心重点项目建设，可更好的为集中供养残疾军人、退役军人、其他优抚对象以及广大人民群众提供医疗康养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2.项目实施内容及过程概述</w:t>
            </w:r>
          </w:p>
        </w:tc>
        <w:tc>
          <w:tcPr>
            <w:tcW w:w="431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严格按照财评结果，合理调整需求，经院内党委会决议后提交招标采购办按相关规定开展采购。根据临床所需采购内镜主机、听力检查设备等一批医疗设备，医养结合中心项目采购病床、电视、空调、家具等，完成发电机组的更新，根据行业要求，新增安检设备等新设备，解决单位运转实际问题，提升了集中供养残疾军人、退役军人、其他优抚对象以及广大人民群众服务的医疗服务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预算执行情况（10分）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年度预算数（万元）</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调整后预算数</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预算执行数</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总额</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1,251.34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1,066.23</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479.23</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1.11月完成采购工作，部分设备及维修改造项目无法在12月底完成，进而无法全额支付所有费用，基本完成了首笔30%款项的支付。                                  2.根据川财社〔2025〕78号，按照财评结果调减预算135.06万元；根据川财社〔2025〕106号，调减空调设备的政府采购结余50.05万元。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1,251.34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1,066.23</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479.23</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财政专户管理资金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120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绩效指标（90分）</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指标值</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度量单位</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完成值</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权重</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设备购置数量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批</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项目按计划完工率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优抚医疗养老服务能力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明显提升</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明显提升</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6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伤残军人满意度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6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社会病人满意度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1070.96</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9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479.23</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60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2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89"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评价结论</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项目自评90.5分，通过预算资金的使用解决了单位运转中的各项需求和问题，较好的完成了年度目标任务，提升了为集中供养残疾军人、退役军人、其他优抚对象以及广大人民群众服务能力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存在问题</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预算执行率低，部分项目推进滞后，导致未能在本年度内完成验收等工作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改进措施</w:t>
            </w:r>
          </w:p>
        </w:tc>
        <w:tc>
          <w:tcPr>
            <w:tcW w:w="465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财评后加快需求论证及采购工作，加强预算精准性，加强和财政的沟通避免财评后预算不足导致多次流标，加快设备购置后加快验收和资金支付速度。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14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项目负责人：刘俊</w:t>
            </w:r>
          </w:p>
        </w:tc>
        <w:tc>
          <w:tcPr>
            <w:tcW w:w="285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napToGrid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财务负责人：</w:t>
            </w:r>
            <w:r>
              <w:rPr>
                <w:rFonts w:hint="eastAsia" w:ascii="宋体" w:hAnsi="宋体" w:cs="宋体"/>
                <w:i w:val="0"/>
                <w:iCs w:val="0"/>
                <w:color w:val="000000"/>
                <w:kern w:val="0"/>
                <w:sz w:val="18"/>
                <w:szCs w:val="18"/>
                <w:u w:val="none"/>
                <w:lang w:val="en-US" w:eastAsia="zh-CN" w:bidi="ar"/>
              </w:rPr>
              <w:t>杨莉</w:t>
            </w:r>
          </w:p>
        </w:tc>
      </w:tr>
    </w:tbl>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9"/>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w:t>
      </w:r>
      <w:r>
        <w:rPr>
          <w:rFonts w:hint="eastAsia" w:eastAsia="仿宋_GB2312" w:cs="仿宋_GB2312"/>
          <w:color w:val="auto"/>
          <w:sz w:val="32"/>
          <w:szCs w:val="32"/>
          <w:highlight w:val="none"/>
          <w:lang w:val="en-US" w:eastAsia="zh-CN"/>
        </w:rPr>
        <w:t>明细</w:t>
      </w:r>
      <w:r>
        <w:rPr>
          <w:rFonts w:hint="eastAsia" w:ascii="Times New Roman" w:hAnsi="Times New Roman" w:eastAsia="仿宋_GB2312" w:cs="仿宋_GB2312"/>
          <w:color w:val="auto"/>
          <w:sz w:val="32"/>
          <w:szCs w:val="32"/>
          <w:highlight w:val="none"/>
        </w:rPr>
        <w:t>表</w:t>
      </w:r>
      <w:bookmarkEnd w:id="5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9" w:type="first"/>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E127341-80D1-4C93-A2E6-E01339E83B3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0C154FE5-245A-434C-821E-0E9CB865496A}"/>
  </w:font>
  <w:font w:name="仿宋">
    <w:panose1 w:val="02010609060101010101"/>
    <w:charset w:val="86"/>
    <w:family w:val="modern"/>
    <w:pitch w:val="default"/>
    <w:sig w:usb0="800002BF" w:usb1="38CF7CFA" w:usb2="00000016" w:usb3="00000000" w:csb0="00040001" w:csb1="00000000"/>
    <w:embedRegular r:id="rId3" w:fontKey="{B41D8255-7CBD-4AC1-9C3D-E02BCE3E97C4}"/>
  </w:font>
  <w:font w:name="??">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embedRegular r:id="rId4" w:fontKey="{6FDB1A6C-EBC6-445A-B2AA-07F12BCDB526}"/>
  </w:font>
  <w:font w:name="楷体_GB2312">
    <w:panose1 w:val="02010609030101010101"/>
    <w:charset w:val="86"/>
    <w:family w:val="auto"/>
    <w:pitch w:val="default"/>
    <w:sig w:usb0="00000001" w:usb1="080E0000" w:usb2="00000000" w:usb3="00000000" w:csb0="00040000" w:csb1="00000000"/>
    <w:embedRegular r:id="rId5" w:fontKey="{FD2A17CB-44FF-4F9D-8DD9-F0EF48C6C7CC}"/>
  </w:font>
  <w:font w:name="Calibri">
    <w:panose1 w:val="020F0502020204030204"/>
    <w:charset w:val="86"/>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2"/>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A1EF94"/>
    <w:multiLevelType w:val="singleLevel"/>
    <w:tmpl w:val="CFA1EF9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3ZjBiMmE4OWRhYzAxZTk0MzU4ZTRmMTE4NDVhNzg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13D6B"/>
    <w:rsid w:val="015975B8"/>
    <w:rsid w:val="02317B1B"/>
    <w:rsid w:val="02323BAA"/>
    <w:rsid w:val="02533F0F"/>
    <w:rsid w:val="02FEBE30"/>
    <w:rsid w:val="0394658D"/>
    <w:rsid w:val="04286511"/>
    <w:rsid w:val="04C176DC"/>
    <w:rsid w:val="05DA23A7"/>
    <w:rsid w:val="061E35DE"/>
    <w:rsid w:val="066E0107"/>
    <w:rsid w:val="06ED47ED"/>
    <w:rsid w:val="07996F6E"/>
    <w:rsid w:val="07DFD8BA"/>
    <w:rsid w:val="08DB07E4"/>
    <w:rsid w:val="09867E8F"/>
    <w:rsid w:val="0A0F696E"/>
    <w:rsid w:val="0A2032A3"/>
    <w:rsid w:val="0AA8207C"/>
    <w:rsid w:val="0AF838A6"/>
    <w:rsid w:val="0C6B353F"/>
    <w:rsid w:val="0C6C4794"/>
    <w:rsid w:val="0CA8290A"/>
    <w:rsid w:val="0D35B1ED"/>
    <w:rsid w:val="0DE07E2B"/>
    <w:rsid w:val="0F98263C"/>
    <w:rsid w:val="101860EC"/>
    <w:rsid w:val="10AD60E8"/>
    <w:rsid w:val="10C055FF"/>
    <w:rsid w:val="11772AA4"/>
    <w:rsid w:val="118107EC"/>
    <w:rsid w:val="1279351E"/>
    <w:rsid w:val="13D50BC4"/>
    <w:rsid w:val="14022904"/>
    <w:rsid w:val="147A532B"/>
    <w:rsid w:val="15085783"/>
    <w:rsid w:val="152F2A07"/>
    <w:rsid w:val="165E0673"/>
    <w:rsid w:val="1672275E"/>
    <w:rsid w:val="16BB723D"/>
    <w:rsid w:val="182932F0"/>
    <w:rsid w:val="186504BB"/>
    <w:rsid w:val="1938089F"/>
    <w:rsid w:val="19A445FC"/>
    <w:rsid w:val="1B7D550C"/>
    <w:rsid w:val="1BE8440E"/>
    <w:rsid w:val="1C971E02"/>
    <w:rsid w:val="1D155CEE"/>
    <w:rsid w:val="1E740ACF"/>
    <w:rsid w:val="1F901EA7"/>
    <w:rsid w:val="1FF35744"/>
    <w:rsid w:val="1FF6BC77"/>
    <w:rsid w:val="21962A9E"/>
    <w:rsid w:val="21AE7C77"/>
    <w:rsid w:val="2298179E"/>
    <w:rsid w:val="22BC3C41"/>
    <w:rsid w:val="23860B96"/>
    <w:rsid w:val="240371BF"/>
    <w:rsid w:val="248A15BB"/>
    <w:rsid w:val="260F557C"/>
    <w:rsid w:val="281408E2"/>
    <w:rsid w:val="28E33CA5"/>
    <w:rsid w:val="29FD04D3"/>
    <w:rsid w:val="2BFF7BC6"/>
    <w:rsid w:val="2C8A61B5"/>
    <w:rsid w:val="2CA83FD0"/>
    <w:rsid w:val="2D2E01CF"/>
    <w:rsid w:val="2DF04E50"/>
    <w:rsid w:val="2E9545B0"/>
    <w:rsid w:val="2F040D46"/>
    <w:rsid w:val="2FAE5751"/>
    <w:rsid w:val="2FB1A395"/>
    <w:rsid w:val="2FD16DC5"/>
    <w:rsid w:val="2FD9A7D8"/>
    <w:rsid w:val="319F7F4E"/>
    <w:rsid w:val="321B2544"/>
    <w:rsid w:val="3283636F"/>
    <w:rsid w:val="32B53CA7"/>
    <w:rsid w:val="3304709D"/>
    <w:rsid w:val="33BD4B21"/>
    <w:rsid w:val="34281836"/>
    <w:rsid w:val="349D6851"/>
    <w:rsid w:val="35BA6CAF"/>
    <w:rsid w:val="364D14C1"/>
    <w:rsid w:val="36AA5135"/>
    <w:rsid w:val="36BE0DA7"/>
    <w:rsid w:val="376B6AA6"/>
    <w:rsid w:val="376D39B2"/>
    <w:rsid w:val="37E16F03"/>
    <w:rsid w:val="37F53A3B"/>
    <w:rsid w:val="389B6C89"/>
    <w:rsid w:val="38D469F0"/>
    <w:rsid w:val="395E5A27"/>
    <w:rsid w:val="39627CCD"/>
    <w:rsid w:val="397BAF1F"/>
    <w:rsid w:val="3A995C5C"/>
    <w:rsid w:val="3AB79AF3"/>
    <w:rsid w:val="3AC058DE"/>
    <w:rsid w:val="3AF10C2A"/>
    <w:rsid w:val="3B7EF35A"/>
    <w:rsid w:val="3B9FDB6C"/>
    <w:rsid w:val="3BF5BC2F"/>
    <w:rsid w:val="3CB90837"/>
    <w:rsid w:val="3CEBA265"/>
    <w:rsid w:val="3D98207C"/>
    <w:rsid w:val="3D9B0D99"/>
    <w:rsid w:val="3DEE7CF3"/>
    <w:rsid w:val="3DF02244"/>
    <w:rsid w:val="3E78745D"/>
    <w:rsid w:val="3E8D4E6C"/>
    <w:rsid w:val="3F3B3785"/>
    <w:rsid w:val="3F9D1D4A"/>
    <w:rsid w:val="3FF4CAE0"/>
    <w:rsid w:val="3FF7B227"/>
    <w:rsid w:val="40E54C45"/>
    <w:rsid w:val="42B730B7"/>
    <w:rsid w:val="42EA32FD"/>
    <w:rsid w:val="43A407DF"/>
    <w:rsid w:val="44515BEA"/>
    <w:rsid w:val="44E268DA"/>
    <w:rsid w:val="453F7E5B"/>
    <w:rsid w:val="467557CF"/>
    <w:rsid w:val="469A5235"/>
    <w:rsid w:val="469F284C"/>
    <w:rsid w:val="46B34549"/>
    <w:rsid w:val="486A6C7A"/>
    <w:rsid w:val="49176D9B"/>
    <w:rsid w:val="4A627F82"/>
    <w:rsid w:val="4B0E749A"/>
    <w:rsid w:val="4B4F25DA"/>
    <w:rsid w:val="4BDA0CFB"/>
    <w:rsid w:val="4BE068DB"/>
    <w:rsid w:val="4CAA019C"/>
    <w:rsid w:val="4D057181"/>
    <w:rsid w:val="4D3C0CCC"/>
    <w:rsid w:val="4D577224"/>
    <w:rsid w:val="4D5F6324"/>
    <w:rsid w:val="4DBF1CEB"/>
    <w:rsid w:val="4EAB630A"/>
    <w:rsid w:val="4ECE2238"/>
    <w:rsid w:val="4F833267"/>
    <w:rsid w:val="4FE9BD67"/>
    <w:rsid w:val="4FFB052F"/>
    <w:rsid w:val="51C70EA9"/>
    <w:rsid w:val="523809DD"/>
    <w:rsid w:val="53083A92"/>
    <w:rsid w:val="537E6D0A"/>
    <w:rsid w:val="53AF27A2"/>
    <w:rsid w:val="53F74C96"/>
    <w:rsid w:val="55C93441"/>
    <w:rsid w:val="56E47B74"/>
    <w:rsid w:val="57250B4B"/>
    <w:rsid w:val="57BD3DD4"/>
    <w:rsid w:val="5837759F"/>
    <w:rsid w:val="5AF92295"/>
    <w:rsid w:val="5BDD79E6"/>
    <w:rsid w:val="5BE07737"/>
    <w:rsid w:val="5BF561CA"/>
    <w:rsid w:val="5BFF5DFC"/>
    <w:rsid w:val="5CD71FC4"/>
    <w:rsid w:val="5D1F11B5"/>
    <w:rsid w:val="5D647EF4"/>
    <w:rsid w:val="5D881A92"/>
    <w:rsid w:val="5D9A2322"/>
    <w:rsid w:val="5DAE1B18"/>
    <w:rsid w:val="5DE7D9E5"/>
    <w:rsid w:val="5ECEC941"/>
    <w:rsid w:val="5F493CB7"/>
    <w:rsid w:val="5F926F9A"/>
    <w:rsid w:val="5FBF9FF3"/>
    <w:rsid w:val="5FCD4E2C"/>
    <w:rsid w:val="5FD15F49"/>
    <w:rsid w:val="5FEF394A"/>
    <w:rsid w:val="5FF67715"/>
    <w:rsid w:val="611C2FBF"/>
    <w:rsid w:val="61AC7AF3"/>
    <w:rsid w:val="623205C0"/>
    <w:rsid w:val="62BF3928"/>
    <w:rsid w:val="641461CF"/>
    <w:rsid w:val="647F5392"/>
    <w:rsid w:val="664B1D71"/>
    <w:rsid w:val="67AA3209"/>
    <w:rsid w:val="681C4F0D"/>
    <w:rsid w:val="69046D0F"/>
    <w:rsid w:val="698D0931"/>
    <w:rsid w:val="6A993CED"/>
    <w:rsid w:val="6B053271"/>
    <w:rsid w:val="6B2D5DC9"/>
    <w:rsid w:val="6BCE6674"/>
    <w:rsid w:val="6C4A05C8"/>
    <w:rsid w:val="6C8742B8"/>
    <w:rsid w:val="6C8A170F"/>
    <w:rsid w:val="6CB54609"/>
    <w:rsid w:val="6D2F7002"/>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01D2"/>
    <w:rsid w:val="73AB61DA"/>
    <w:rsid w:val="73AD73D5"/>
    <w:rsid w:val="73B6EB34"/>
    <w:rsid w:val="73FA497D"/>
    <w:rsid w:val="744731E5"/>
    <w:rsid w:val="74527205"/>
    <w:rsid w:val="74BBD01D"/>
    <w:rsid w:val="74ED5379"/>
    <w:rsid w:val="74FC2395"/>
    <w:rsid w:val="75DEEEC2"/>
    <w:rsid w:val="76E3355F"/>
    <w:rsid w:val="76FF5125"/>
    <w:rsid w:val="776F6FFA"/>
    <w:rsid w:val="778769C8"/>
    <w:rsid w:val="77976AA4"/>
    <w:rsid w:val="77DC22F5"/>
    <w:rsid w:val="77FC0FFD"/>
    <w:rsid w:val="79086DAD"/>
    <w:rsid w:val="79974F09"/>
    <w:rsid w:val="79D7FD79"/>
    <w:rsid w:val="79EE5BA4"/>
    <w:rsid w:val="7A894339"/>
    <w:rsid w:val="7AFF7572"/>
    <w:rsid w:val="7B6C7DFB"/>
    <w:rsid w:val="7BBFBED0"/>
    <w:rsid w:val="7BC3E394"/>
    <w:rsid w:val="7C1F3737"/>
    <w:rsid w:val="7CBFC87B"/>
    <w:rsid w:val="7CFE0F48"/>
    <w:rsid w:val="7D7EC23E"/>
    <w:rsid w:val="7D916348"/>
    <w:rsid w:val="7E301A00"/>
    <w:rsid w:val="7E747B3F"/>
    <w:rsid w:val="7E8ADEBF"/>
    <w:rsid w:val="7EEF11D3"/>
    <w:rsid w:val="7EF90044"/>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annotation text"/>
    <w:basedOn w:val="1"/>
    <w:semiHidden/>
    <w:unhideWhenUsed/>
    <w:qFormat/>
    <w:uiPriority w:val="99"/>
    <w:pPr>
      <w:jc w:val="left"/>
    </w:pPr>
  </w:style>
  <w:style w:type="paragraph" w:styleId="9">
    <w:name w:val="Body Text"/>
    <w:basedOn w:val="1"/>
    <w:link w:val="26"/>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9"/>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font51"/>
    <w:basedOn w:val="17"/>
    <w:qFormat/>
    <w:uiPriority w:val="0"/>
    <w:rPr>
      <w:rFonts w:hint="eastAsia" w:ascii="微软雅黑" w:hAnsi="微软雅黑" w:eastAsia="微软雅黑" w:cs="微软雅黑"/>
      <w:i/>
      <w:iCs/>
      <w:color w:val="000000"/>
      <w:sz w:val="16"/>
      <w:szCs w:val="16"/>
      <w:u w:val="none"/>
    </w:rPr>
  </w:style>
  <w:style w:type="character" w:customStyle="1" w:styleId="37">
    <w:name w:val="font101"/>
    <w:basedOn w:val="17"/>
    <w:qFormat/>
    <w:uiPriority w:val="0"/>
    <w:rPr>
      <w:rFonts w:hint="eastAsia" w:ascii="微软雅黑" w:hAnsi="微软雅黑" w:eastAsia="微软雅黑" w:cs="微软雅黑"/>
      <w:i/>
      <w:iCs/>
      <w:color w:val="000000"/>
      <w:sz w:val="16"/>
      <w:szCs w:val="16"/>
      <w:u w:val="none"/>
    </w:rPr>
  </w:style>
  <w:style w:type="character" w:customStyle="1" w:styleId="38">
    <w:name w:val="font21"/>
    <w:basedOn w:val="17"/>
    <w:qFormat/>
    <w:uiPriority w:val="0"/>
    <w:rPr>
      <w:rFonts w:hint="eastAsia" w:ascii="宋体" w:hAnsi="宋体" w:eastAsia="宋体" w:cs="宋体"/>
      <w:color w:val="000000"/>
      <w:sz w:val="18"/>
      <w:szCs w:val="18"/>
      <w:u w:val="none"/>
    </w:rPr>
  </w:style>
  <w:style w:type="character" w:customStyle="1" w:styleId="39">
    <w:name w:val="font61"/>
    <w:basedOn w:val="17"/>
    <w:qFormat/>
    <w:uiPriority w:val="0"/>
    <w:rPr>
      <w:rFonts w:hint="eastAsia" w:ascii="宋体" w:hAnsi="宋体" w:eastAsia="宋体" w:cs="宋体"/>
      <w:color w:val="000000"/>
      <w:sz w:val="18"/>
      <w:szCs w:val="18"/>
      <w:u w:val="none"/>
    </w:rPr>
  </w:style>
  <w:style w:type="character" w:customStyle="1" w:styleId="40">
    <w:name w:val="font71"/>
    <w:basedOn w:val="17"/>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G:\&#20915;&#31639;&#24037;&#20316;\2025&#24180;&#20915;&#31639;&#20844;&#24320;\&#22270;&#34920;(2025&#2418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0" i="0" u="none" strike="noStrike" kern="1200" baseline="0">
                <a:solidFill>
                  <a:schemeClr val="tx1"/>
                </a:solidFill>
                <a:latin typeface="+mn-lt"/>
                <a:ea typeface="+mn-ea"/>
                <a:cs typeface="+mn-cs"/>
              </a:defRPr>
            </a:pPr>
            <a:r>
              <a:rPr sz="900" b="0"/>
              <a:t>单位：万元</a:t>
            </a:r>
            <a:endParaRPr sz="900" b="0"/>
          </a:p>
        </c:rich>
      </c:tx>
      <c:layout>
        <c:manualLayout>
          <c:xMode val="edge"/>
          <c:yMode val="edge"/>
          <c:x val="0.817222222222222"/>
          <c:y val="0.0160103021978022"/>
        </c:manualLayout>
      </c:layout>
      <c:overlay val="0"/>
    </c:title>
    <c:autoTitleDeleted val="0"/>
    <c:plotArea>
      <c:layout>
        <c:manualLayout>
          <c:layoutTarget val="inner"/>
          <c:xMode val="edge"/>
          <c:yMode val="edge"/>
          <c:x val="0.098"/>
          <c:y val="0.144831730769231"/>
          <c:w val="0.869361111111111"/>
          <c:h val="0.634895833333333"/>
        </c:manualLayout>
      </c:layout>
      <c:barChart>
        <c:barDir val="col"/>
        <c:grouping val="clustered"/>
        <c:varyColors val="0"/>
        <c:ser>
          <c:idx val="0"/>
          <c:order val="0"/>
          <c:tx>
            <c:strRef>
              <c:f>'[图表(2025年).xls]收、支决算总计变动情况图'!$A$2</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'[图表(2025年).xls]收、支决算总计变动情况图'!$B$1:$C$1</c:f>
              <c:strCache>
                <c:ptCount val="2"/>
                <c:pt idx="0">
                  <c:v>2024年</c:v>
                </c:pt>
                <c:pt idx="1">
                  <c:v>2025年</c:v>
                </c:pt>
              </c:strCache>
            </c:strRef>
          </c:cat>
          <c:val>
            <c:numRef>
              <c:f>'[图表(2025年).xls]收、支决算总计变动情况图'!$B$2:$C$2</c:f>
              <c:numCache>
                <c:formatCode>General</c:formatCode>
                <c:ptCount val="2"/>
                <c:pt idx="0">
                  <c:v>23679.53</c:v>
                </c:pt>
                <c:pt idx="1">
                  <c:v>29387.84</c:v>
                </c:pt>
              </c:numCache>
            </c:numRef>
          </c:val>
        </c:ser>
        <c:ser>
          <c:idx val="1"/>
          <c:order val="1"/>
          <c:tx>
            <c:strRef>
              <c:f>'[图表(2025年).xls]收、支决算总计变动情况图'!$A$3</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'[图表(2025年).xls]收、支决算总计变动情况图'!$B$1:$C$1</c:f>
              <c:strCache>
                <c:ptCount val="2"/>
                <c:pt idx="0">
                  <c:v>2024年</c:v>
                </c:pt>
                <c:pt idx="1">
                  <c:v>2025年</c:v>
                </c:pt>
              </c:strCache>
            </c:strRef>
          </c:cat>
          <c:val>
            <c:numRef>
              <c:f>'[图表(2025年).xls]收、支决算总计变动情况图'!$B$3:$C$3</c:f>
              <c:numCache>
                <c:formatCode>General</c:formatCode>
                <c:ptCount val="2"/>
                <c:pt idx="0">
                  <c:v>23679.53</c:v>
                </c:pt>
                <c:pt idx="1">
                  <c:v>29387.84</c:v>
                </c:pt>
              </c:numCache>
            </c:numRef>
          </c:val>
        </c:ser>
        <c:dLbls>
          <c:showLegendKey val="0"/>
          <c:showVal val="0"/>
          <c:showCatName val="0"/>
          <c:showSerName val="0"/>
          <c:showPercent val="0"/>
          <c:showBubbleSize val="0"/>
        </c:dLbls>
        <c:gapWidth val="75"/>
        <c:overlap val="0"/>
        <c:axId val="181844852"/>
        <c:axId val="756223635"/>
      </c:barChart>
      <c:catAx>
        <c:axId val="18184485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56223635"/>
        <c:crosses val="autoZero"/>
        <c:auto val="1"/>
        <c:lblAlgn val="ctr"/>
        <c:lblOffset val="100"/>
        <c:noMultiLvlLbl val="0"/>
      </c:catAx>
      <c:valAx>
        <c:axId val="756223635"/>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184485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sz="900" b="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extLst>
            </c:dLbl>
            <c:dLbl>
              <c:idx val="3"/>
              <c:layout>
                <c:manualLayout>
                  <c:x val="-0.148666265334911"/>
                  <c:y val="-0.00597920958464168"/>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'[图表(2025年).xls]收入决算结构图'!$A$1:$D$1</c:f>
              <c:strCache>
                <c:ptCount val="4"/>
                <c:pt idx="0">
                  <c:v>一般公共预算财政拨款收入</c:v>
                </c:pt>
                <c:pt idx="1">
                  <c:v>政府性基金预算财政拨款收入</c:v>
                </c:pt>
                <c:pt idx="2">
                  <c:v>事业收入</c:v>
                </c:pt>
                <c:pt idx="3">
                  <c:v>其他收入</c:v>
                </c:pt>
              </c:strCache>
            </c:strRef>
          </c:cat>
          <c:val>
            <c:numRef>
              <c:f>'[图表(2025年).xls]收入决算结构图'!$A$2:$D$2</c:f>
              <c:numCache>
                <c:formatCode>0%</c:formatCode>
                <c:ptCount val="4"/>
                <c:pt idx="0">
                  <c:v>0.35</c:v>
                </c:pt>
                <c:pt idx="1">
                  <c:v>0.061</c:v>
                </c:pt>
                <c:pt idx="2">
                  <c:v>0.58</c:v>
                </c:pt>
                <c:pt idx="3">
                  <c:v>0.0096</c:v>
                </c:pt>
              </c:numCache>
            </c:numRef>
          </c:val>
        </c:ser>
        <c:ser>
          <c:idx val="1"/>
          <c:order val="1"/>
          <c:explosion val="0"/>
          <c:dPt>
            <c:idx val="0"/>
            <c:bubble3D val="0"/>
            <c:explosion val="0"/>
          </c:dPt>
          <c:dPt>
            <c:idx val="1"/>
            <c:bubble3D val="0"/>
            <c:explosion val="0"/>
          </c:dPt>
          <c:dPt>
            <c:idx val="2"/>
            <c:bubble3D val="0"/>
            <c:explosion val="0"/>
          </c:dPt>
          <c:dPt>
            <c:idx val="3"/>
            <c:bubble3D val="0"/>
            <c:explosion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'[图表(2025年).xls]收入决算结构图'!$A$1:$D$1</c:f>
              <c:strCache>
                <c:ptCount val="4"/>
                <c:pt idx="0">
                  <c:v>一般公共预算财政拨款收入</c:v>
                </c:pt>
                <c:pt idx="1">
                  <c:v>政府性基金预算财政拨款收入</c:v>
                </c:pt>
                <c:pt idx="2">
                  <c:v>事业收入</c:v>
                </c:pt>
                <c:pt idx="3">
                  <c:v>其他收入</c:v>
                </c:pt>
              </c:strCache>
            </c:strRef>
          </c:cat>
          <c:val>
            <c:numRef>
              <c:f>'[图表(2025年).xls]收入决算结构图'!$A$3:$D$3</c:f>
              <c:numCache>
                <c:formatCode>General</c:formatCode>
                <c:ptCount val="4"/>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'[图表(2025年).xls]支出决算结构图'!$A$1:$B$1</c:f>
              <c:strCache>
                <c:ptCount val="2"/>
                <c:pt idx="0">
                  <c:v>基本支出</c:v>
                </c:pt>
                <c:pt idx="1">
                  <c:v>项目支出</c:v>
                </c:pt>
              </c:strCache>
            </c:strRef>
          </c:cat>
          <c:val>
            <c:numRef>
              <c:f>'[图表(2025年).xls]支出决算结构图'!$A$2:$B$2</c:f>
              <c:numCache>
                <c:formatCode>0.0%</c:formatCode>
                <c:ptCount val="2"/>
                <c:pt idx="0">
                  <c:v>0.414</c:v>
                </c:pt>
                <c:pt idx="1">
                  <c:v>0.586</c:v>
                </c:pt>
              </c:numCache>
            </c:numRef>
          </c:val>
        </c:ser>
        <c:dLbls>
          <c:showLegendKey val="0"/>
          <c:showVal val="0"/>
          <c:showCatName val="0"/>
          <c:showSerName val="0"/>
          <c:showPercent val="0"/>
          <c:showBubbleSize val="0"/>
          <c:showLeaderLines val="1"/>
        </c:dLbls>
        <c:firstSliceAng val="0"/>
      </c:pieChart>
      <c:spPr>
        <a:noFill/>
        <a:ln w="3175">
          <a:noFill/>
        </a:ln>
      </c:spPr>
    </c:plotArea>
    <c:plotVisOnly val="1"/>
    <c:dispBlanksAs val="gap"/>
    <c:showDLblsOverMax val="0"/>
  </c:chart>
  <c:spPr>
    <a:solidFill>
      <a:schemeClr val="bg1"/>
    </a:solidFill>
    <a:ln w="12700" cap="flat" cmpd="sng" algn="ctr">
      <a:solidFill>
        <a:schemeClr val="tx1">
          <a:alpha val="87000"/>
        </a:schemeClr>
      </a:solidFill>
      <a:prstDash val="solid"/>
      <a:round/>
    </a:ln>
    <a:effectLst/>
  </c:spPr>
  <c:txPr>
    <a:bodyPr rot="0" wrap="square" anchor="ctr" anchorCtr="1"/>
    <a:lstStyle/>
    <a:p>
      <a:pPr>
        <a:defRPr lang="zh-CN" sz="900" b="0" i="0" u="none" strike="noStrike" baseline="0">
          <a:solidFill>
            <a:srgbClr val="000000">
              <a:alpha val="100000"/>
            </a:srgbClr>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80" b="1" i="0" u="none" strike="noStrike" kern="1200" baseline="0">
                <a:solidFill>
                  <a:schemeClr val="tx1"/>
                </a:solidFill>
                <a:latin typeface="+mn-lt"/>
                <a:ea typeface="+mn-ea"/>
                <a:cs typeface="+mn-cs"/>
              </a:defRPr>
            </a:pPr>
            <a:r>
              <a:rPr sz="900" b="0"/>
              <a:t>单位：万元</a:t>
            </a:r>
            <a:endParaRPr sz="900" b="0"/>
          </a:p>
        </c:rich>
      </c:tx>
      <c:layout>
        <c:manualLayout>
          <c:xMode val="edge"/>
          <c:yMode val="edge"/>
          <c:x val="0.833199732798931"/>
          <c:y val="0.0171985080812267"/>
        </c:manualLayout>
      </c:layout>
      <c:overlay val="0"/>
    </c:title>
    <c:autoTitleDeleted val="0"/>
    <c:plotArea>
      <c:layout>
        <c:manualLayout>
          <c:layoutTarget val="inner"/>
          <c:xMode val="edge"/>
          <c:yMode val="edge"/>
          <c:x val="0.0919171676686707"/>
          <c:y val="0.162246166597596"/>
          <c:w val="0.878690714762859"/>
          <c:h val="0.589307915457936"/>
        </c:manualLayout>
      </c:layout>
      <c:barChart>
        <c:barDir val="col"/>
        <c:grouping val="clustered"/>
        <c:varyColors val="0"/>
        <c:ser>
          <c:idx val="0"/>
          <c:order val="0"/>
          <c:tx>
            <c:strRef>
              <c:f>'[图表(2025年).xls]财政拨款收、支决算总计变动情况'!$A$2</c:f>
              <c:strCache>
                <c:ptCount val="1"/>
                <c:pt idx="0">
                  <c:v>2024年</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'[图表(2025年).xls]财政拨款收、支决算总计变动情况'!$B$1:$C$1</c:f>
              <c:strCache>
                <c:ptCount val="2"/>
                <c:pt idx="0">
                  <c:v>收入</c:v>
                </c:pt>
                <c:pt idx="1">
                  <c:v>支出</c:v>
                </c:pt>
              </c:strCache>
            </c:strRef>
          </c:cat>
          <c:val>
            <c:numRef>
              <c:f>'[图表(2024年).xls]财政拨款收、支决算总计变动情况'!$B$2:$C$2</c:f>
              <c:numCache>
                <c:formatCode>General</c:formatCode>
                <c:ptCount val="2"/>
                <c:pt idx="0">
                  <c:v>7414.84</c:v>
                </c:pt>
                <c:pt idx="1">
                  <c:v>7414.84</c:v>
                </c:pt>
              </c:numCache>
            </c:numRef>
          </c:val>
        </c:ser>
        <c:ser>
          <c:idx val="1"/>
          <c:order val="1"/>
          <c:tx>
            <c:strRef>
              <c:f>'[图表(2025年).xls]财政拨款收、支决算总计变动情况'!$A$3</c:f>
              <c:strCache>
                <c:ptCount val="1"/>
                <c:pt idx="0">
                  <c:v>2025年</c:v>
                </c:pt>
              </c:strCache>
            </c:strRef>
          </c:tx>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rPr lang="en-US" altLang="zh-CN" sz="900"/>
                      <a:t>12013.77</a:t>
                    </a:r>
                    <a:endParaRPr lang="en-US" altLang="zh-CN" sz="900"/>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rPr lang="en-US" altLang="zh-CN" sz="900"/>
                      <a:t>12013.77</a:t>
                    </a:r>
                    <a:endParaRPr lang="en-US" altLang="zh-CN" sz="900"/>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'[图表(2025年).xls]财政拨款收、支决算总计变动情况'!$B$1:$C$1</c:f>
              <c:strCache>
                <c:ptCount val="2"/>
                <c:pt idx="0">
                  <c:v>收入</c:v>
                </c:pt>
                <c:pt idx="1">
                  <c:v>支出</c:v>
                </c:pt>
              </c:strCache>
            </c:strRef>
          </c:cat>
          <c:val>
            <c:numRef>
              <c:f>'[图表(2025年).xls]财政拨款收、支决算总计变动情况'!$B$3:$C$3</c:f>
              <c:numCache>
                <c:formatCode>General</c:formatCode>
                <c:ptCount val="2"/>
                <c:pt idx="0">
                  <c:v>7584.46</c:v>
                </c:pt>
                <c:pt idx="1">
                  <c:v>7584.46</c:v>
                </c:pt>
              </c:numCache>
            </c:numRef>
          </c:val>
        </c:ser>
        <c:dLbls>
          <c:showLegendKey val="0"/>
          <c:showVal val="0"/>
          <c:showCatName val="0"/>
          <c:showSerName val="0"/>
          <c:showPercent val="0"/>
          <c:showBubbleSize val="0"/>
        </c:dLbls>
        <c:gapWidth val="75"/>
        <c:overlap val="0"/>
        <c:axId val="642771392"/>
        <c:axId val="979605574"/>
      </c:barChart>
      <c:catAx>
        <c:axId val="642771392"/>
        <c:scaling>
          <c:orientation val="minMax"/>
        </c:scaling>
        <c:delete val="0"/>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crossAx val="979605574"/>
        <c:crosses val="autoZero"/>
        <c:auto val="1"/>
        <c:lblAlgn val="ctr"/>
        <c:lblOffset val="100"/>
        <c:noMultiLvlLbl val="0"/>
      </c:catAx>
      <c:valAx>
        <c:axId val="979605574"/>
        <c:scaling>
          <c:orientation val="minMax"/>
          <c:max val="8000"/>
          <c:min val="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rgbClr val="000000"/>
                </a:solidFill>
                <a:latin typeface="+mn-lt"/>
                <a:ea typeface="+mn-ea"/>
                <a:cs typeface="+mn-cs"/>
              </a:defRPr>
            </a:pPr>
          </a:p>
        </c:txPr>
        <c:crossAx val="642771392"/>
        <c:crosses val="autoZero"/>
        <c:crossBetween val="between"/>
        <c:majorUnit val="1000"/>
      </c:valAx>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6350" cap="flat" cmpd="sng" algn="ctr">
      <a:solidFill>
        <a:sysClr val="windowText" lastClr="000000"/>
      </a:solidFill>
      <a:prstDash val="solid"/>
      <a:round/>
    </a:ln>
  </c:spPr>
  <c:txPr>
    <a:bodyPr wrap="square"/>
    <a:lstStyle/>
    <a:p>
      <a:pPr>
        <a:defRPr lang="zh-CN" sz="9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0" i="0" u="none" strike="noStrike" kern="1200" baseline="0">
                <a:solidFill>
                  <a:schemeClr val="dk1"/>
                </a:solidFill>
                <a:latin typeface="+mn-lt"/>
                <a:ea typeface="+mn-ea"/>
                <a:cs typeface="+mn-cs"/>
              </a:defRPr>
            </a:pPr>
            <a:r>
              <a:rPr sz="900" b="0"/>
              <a:t>单位：万元</a:t>
            </a:r>
            <a:endParaRPr sz="900" b="0"/>
          </a:p>
        </c:rich>
      </c:tx>
      <c:layout>
        <c:manualLayout>
          <c:xMode val="edge"/>
          <c:yMode val="edge"/>
          <c:x val="0.853239812959252"/>
          <c:y val="0.0385930630190523"/>
        </c:manualLayout>
      </c:layout>
      <c:overlay val="0"/>
    </c:title>
    <c:autoTitleDeleted val="0"/>
    <c:plotArea>
      <c:layout>
        <c:manualLayout>
          <c:layoutTarget val="inner"/>
          <c:xMode val="edge"/>
          <c:yMode val="edge"/>
          <c:x val="0.122244608596694"/>
          <c:y val="0.161172737711545"/>
          <c:w val="0.849700230245873"/>
          <c:h val="0.684984135274064"/>
        </c:manualLayout>
      </c:layout>
      <c:barChart>
        <c:barDir val="col"/>
        <c:grouping val="clustered"/>
        <c:varyColors val="0"/>
        <c:ser>
          <c:idx val="0"/>
          <c:order val="0"/>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dk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'[图表(2025年).xls]5'!$A$1:$B$1</c:f>
              <c:strCache>
                <c:ptCount val="2"/>
                <c:pt idx="0">
                  <c:v>2024年</c:v>
                </c:pt>
                <c:pt idx="1">
                  <c:v>2025年</c:v>
                </c:pt>
              </c:strCache>
            </c:strRef>
          </c:cat>
          <c:val>
            <c:numRef>
              <c:f>'[图表(2025年).xls]5'!$A$2:$B$2</c:f>
              <c:numCache>
                <c:formatCode>General</c:formatCode>
                <c:ptCount val="2"/>
                <c:pt idx="0">
                  <c:v>7385.94</c:v>
                </c:pt>
                <c:pt idx="1">
                  <c:v>9759.49</c:v>
                </c:pt>
              </c:numCache>
            </c:numRef>
          </c:val>
        </c:ser>
        <c:dLbls>
          <c:showLegendKey val="0"/>
          <c:showVal val="0"/>
          <c:showCatName val="0"/>
          <c:showSerName val="0"/>
          <c:showPercent val="0"/>
          <c:showBubbleSize val="0"/>
        </c:dLbls>
        <c:gapWidth val="75"/>
        <c:overlap val="40"/>
        <c:axId val="208992722"/>
        <c:axId val="751150915"/>
      </c:barChart>
      <c:catAx>
        <c:axId val="208992722"/>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1" i="0" u="none" strike="noStrike" kern="1200" baseline="0">
                <a:solidFill>
                  <a:schemeClr val="dk1"/>
                </a:solidFill>
                <a:latin typeface="+mn-lt"/>
                <a:ea typeface="+mn-ea"/>
                <a:cs typeface="+mn-cs"/>
              </a:defRPr>
            </a:pPr>
          </a:p>
        </c:txPr>
        <c:crossAx val="751150915"/>
        <c:crosses val="autoZero"/>
        <c:auto val="1"/>
        <c:lblAlgn val="ctr"/>
        <c:lblOffset val="100"/>
        <c:noMultiLvlLbl val="0"/>
      </c:catAx>
      <c:valAx>
        <c:axId val="751150915"/>
        <c:scaling>
          <c:orientation val="minMax"/>
          <c:max val="10000"/>
          <c:min val="0"/>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1" i="0" u="none" strike="noStrike" kern="1200" baseline="0">
                <a:solidFill>
                  <a:schemeClr val="dk1"/>
                </a:solidFill>
                <a:latin typeface="+mn-lt"/>
                <a:ea typeface="+mn-ea"/>
                <a:cs typeface="+mn-cs"/>
              </a:defRPr>
            </a:pPr>
          </a:p>
        </c:txPr>
        <c:crossAx val="208992722"/>
        <c:crosses val="autoZero"/>
        <c:crossBetween val="between"/>
        <c:majorUnit val="2000"/>
      </c:valAx>
    </c:plotArea>
    <c:plotVisOnly val="1"/>
    <c:dispBlanksAs val="gap"/>
    <c:showDLblsOverMax val="0"/>
  </c:chart>
  <c:spPr>
    <a:solidFill>
      <a:schemeClr val="lt1"/>
    </a:solidFill>
    <a:ln w="12700" cap="flat" cmpd="sng" algn="ctr">
      <a:solidFill>
        <a:schemeClr val="dk1"/>
      </a:solidFill>
      <a:prstDash val="solid"/>
      <a:miter lim="800000"/>
    </a:ln>
    <a:effectLst/>
  </c:spPr>
  <c:txPr>
    <a:bodyPr wrap="square"/>
    <a:lstStyle/>
    <a:p>
      <a:pPr>
        <a:defRPr lang="zh-CN" b="1">
          <a:solidFill>
            <a:schemeClr val="dk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743412336228"/>
          <c:y val="0.218045112781955"/>
          <c:w val="0.437368210440325"/>
          <c:h val="0.774436090225564"/>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Lbl>
              <c:idx val="0"/>
              <c:layout>
                <c:manualLayout>
                  <c:x val="0.196585614236848"/>
                  <c:y val="-0.00817794203978416"/>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sz="1000" b="0" i="0" u="none" strike="noStrike" baseline="0">
                        <a:solidFill>
                          <a:srgbClr val="000000"/>
                        </a:solidFill>
                        <a:latin typeface="Calibri" panose="020F0502020204030204" charset="-122"/>
                        <a:ea typeface="Calibri" panose="020F0502020204030204" charset="-122"/>
                        <a:cs typeface="Calibri" panose="020F0502020204030204" charset="-122"/>
                      </a:rPr>
                      <a:t>科学技术支出</a:t>
                    </a:r>
                    <a:r>
                      <a:rPr lang="en-US" altLang="en-US" sz="1000" b="0" i="0" u="none" strike="noStrike" baseline="0">
                        <a:solidFill>
                          <a:srgbClr val="000000"/>
                        </a:solidFill>
                        <a:latin typeface="Calibri" panose="020F0502020204030204" pitchFamily="2" charset="0"/>
                        <a:ea typeface="Calibri" panose="020F0502020204030204" pitchFamily="2" charset="0"/>
                        <a:cs typeface="Calibri" panose="020F0502020204030204" pitchFamily="2" charset="0"/>
                      </a:rPr>
                      <a:t>0.1%</a:t>
                    </a:r>
                    <a:endParaRPr lang="en-US" altLang="en-US"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dLbl>
              <c:idx val="1"/>
              <c:layout>
                <c:manualLayout>
                  <c:x val="-0.260242845948072"/>
                  <c:y val="-0.643358395989975"/>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sz="1000" b="0" i="0" u="none" strike="noStrike" baseline="0">
                        <a:solidFill>
                          <a:srgbClr val="000000"/>
                        </a:solidFill>
                        <a:latin typeface="Calibri" panose="020F0502020204030204" charset="-122"/>
                        <a:ea typeface="Calibri" panose="020F0502020204030204" charset="-122"/>
                        <a:cs typeface="Calibri" panose="020F0502020204030204" charset="-122"/>
                      </a:rPr>
                      <a:t>卫生健康支出</a:t>
                    </a:r>
                    <a:r>
                      <a:rPr lang="en-US" altLang="en-US" sz="1000" b="0" i="0" u="none" strike="noStrike" baseline="0">
                        <a:solidFill>
                          <a:srgbClr val="000000"/>
                        </a:solidFill>
                        <a:latin typeface="Calibri" panose="020F0502020204030204" pitchFamily="2" charset="0"/>
                        <a:ea typeface="Calibri" panose="020F0502020204030204" pitchFamily="2" charset="0"/>
                        <a:cs typeface="Calibri" panose="020F0502020204030204" pitchFamily="2" charset="0"/>
                      </a:rPr>
                      <a:t>10.4%</a:t>
                    </a:r>
                    <a:endParaRPr lang="en-US" altLang="en-US"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dLbl>
              <c:idx val="2"/>
              <c:layout>
                <c:manualLayout>
                  <c:x val="0.158257410838351"/>
                  <c:y val="0.583079865016873"/>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sz="1000" b="0" i="0" u="none" strike="noStrike" baseline="0">
                        <a:solidFill>
                          <a:srgbClr val="000000"/>
                        </a:solidFill>
                        <a:latin typeface="Calibri" panose="020F0502020204030204" charset="-122"/>
                        <a:ea typeface="Calibri" panose="020F0502020204030204" charset="-122"/>
                        <a:cs typeface="Calibri" panose="020F0502020204030204" charset="-122"/>
                      </a:rPr>
                      <a:t>社会保障和就业支出</a:t>
                    </a:r>
                    <a:r>
                      <a:rPr lang="en-US" altLang="en-US" sz="1000" b="0" i="0" u="none" strike="noStrike" baseline="0">
                        <a:solidFill>
                          <a:srgbClr val="000000"/>
                        </a:solidFill>
                        <a:latin typeface="Calibri" panose="020F0502020204030204" pitchFamily="2" charset="0"/>
                        <a:ea typeface="Calibri" panose="020F0502020204030204" pitchFamily="2" charset="0"/>
                        <a:cs typeface="Calibri" panose="020F0502020204030204" pitchFamily="2" charset="0"/>
                      </a:rPr>
                      <a:t>87.4%</a:t>
                    </a:r>
                    <a:endParaRPr lang="en-US" altLang="en-US"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117475670894267"/>
                  <c:y val="-0.0495595287431176"/>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rPr lang="zh-CN" altLang="en-US" sz="1000" b="0" i="0" u="none" strike="noStrike" baseline="0">
                        <a:solidFill>
                          <a:srgbClr val="000000"/>
                        </a:solidFill>
                        <a:latin typeface="Calibri" panose="020F0502020204030204" charset="-122"/>
                        <a:ea typeface="Calibri" panose="020F0502020204030204" charset="-122"/>
                        <a:cs typeface="Calibri" panose="020F0502020204030204" charset="-122"/>
                      </a:rPr>
                      <a:t>住房保障支出</a:t>
                    </a:r>
                    <a:r>
                      <a:rPr lang="en-US" altLang="en-US" sz="1000" b="0" i="0" u="none" strike="noStrike" baseline="0">
                        <a:solidFill>
                          <a:srgbClr val="000000"/>
                        </a:solidFill>
                        <a:latin typeface="Calibri" panose="020F0502020204030204" pitchFamily="2" charset="0"/>
                        <a:ea typeface="Calibri" panose="020F0502020204030204" pitchFamily="2" charset="0"/>
                        <a:cs typeface="Calibri" panose="020F0502020204030204" pitchFamily="2" charset="0"/>
                      </a:rPr>
                      <a:t>2.1%</a:t>
                    </a:r>
                    <a:endParaRPr lang="en-US" altLang="en-US"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1"/>
              <c:showSerName val="0"/>
              <c:showPercent val="0"/>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'[图表(2025年).xls]6'!$A$1:$D$1</c:f>
              <c:strCache>
                <c:ptCount val="4"/>
                <c:pt idx="0">
                  <c:v>科学技术支出</c:v>
                </c:pt>
                <c:pt idx="1">
                  <c:v>社会保障和就业支出</c:v>
                </c:pt>
                <c:pt idx="2">
                  <c:v>卫生健康支出</c:v>
                </c:pt>
                <c:pt idx="3">
                  <c:v>住房保障支出</c:v>
                </c:pt>
              </c:strCache>
            </c:strRef>
          </c:cat>
          <c:val>
            <c:numRef>
              <c:f>'[图表(2025年).xls]6'!$A$2:$D$2</c:f>
              <c:numCache>
                <c:formatCode>0.0%</c:formatCode>
                <c:ptCount val="4"/>
                <c:pt idx="0">
                  <c:v>0.0011</c:v>
                </c:pt>
                <c:pt idx="1">
                  <c:v>0.8739</c:v>
                </c:pt>
                <c:pt idx="2">
                  <c:v>0.1035</c:v>
                </c:pt>
                <c:pt idx="3">
                  <c:v>0.021</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730362494497105"/>
          <c:y val="0.169172932330827"/>
          <c:w val="0.23375"/>
          <c:h val="0.7665"/>
        </c:manualLayout>
      </c:layout>
      <c:overlay val="0"/>
      <c:txPr>
        <a:bodyPr rot="0" spcFirstLastPara="0" vertOverflow="ellipsis" vert="horz" wrap="square" anchor="ctr" anchorCtr="1"/>
        <a:lstStyle/>
        <a:p>
          <a:pPr>
            <a:defRPr lang="zh-CN" sz="1000" b="0" i="0" u="none" strike="noStrike" kern="1200" baseline="0">
              <a:solidFill>
                <a:schemeClr val="dk1"/>
              </a:solidFill>
              <a:latin typeface="+mn-lt"/>
              <a:ea typeface="+mn-ea"/>
              <a:cs typeface="+mn-cs"/>
            </a:defRPr>
          </a:pPr>
        </a:p>
      </c:txPr>
    </c:legend>
    <c:plotVisOnly val="1"/>
    <c:dispBlanksAs val="zero"/>
    <c:showDLblsOverMax val="0"/>
  </c:chart>
  <c:spPr>
    <a:solidFill>
      <a:schemeClr val="lt1"/>
    </a:solidFill>
    <a:ln w="12700" cap="flat" cmpd="sng" algn="ctr">
      <a:solidFill>
        <a:schemeClr val="dk1"/>
      </a:solidFill>
      <a:prstDash val="solid"/>
      <a:miter lim="800000"/>
    </a:ln>
    <a:effectLst/>
  </c:spPr>
  <c:txPr>
    <a:bodyPr wrap="square"/>
    <a:lstStyle/>
    <a:p>
      <a:pPr>
        <a:defRPr lang="zh-CN">
          <a:solidFill>
            <a:schemeClr val="dk1"/>
          </a:solidFill>
          <a:latin typeface="+mn-lt"/>
          <a:ea typeface="+mn-ea"/>
          <a:cs typeface="+mn-cs"/>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21794</Words>
  <Characters>24741</Characters>
  <Lines>61</Lines>
  <Paragraphs>17</Paragraphs>
  <TotalTime>1</TotalTime>
  <ScaleCrop>false</ScaleCrop>
  <LinksUpToDate>false</LinksUpToDate>
  <CharactersWithSpaces>25120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LM</cp:lastModifiedBy>
  <cp:lastPrinted>2026-08-03T09:27:00Z</cp:lastPrinted>
  <dcterms:modified xsi:type="dcterms:W3CDTF">2026-08-31T08:50:34Z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26F9438458684EC3860363EDC013F4D5</vt:lpwstr>
  </property>
  <property fmtid="{D5CDD505-2E9C-101B-9397-08002B2CF9AE}" pid="4" name="KSOTemplateDocerSaveRecord">
    <vt:lpwstr>eyJoZGlkIjoiZmQ0NmQ4MTY0OGNkNzI4OWFiY2RkYTM3NmRkOTFlOGEiLCJ1c2VySWQiOiI0MzU4MzY3MTEifQ==</vt:lpwstr>
  </property>
</Properties>
</file>