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EEB6E3">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6"/>
        <w:tblpPr w:leftFromText="180" w:rightFromText="180" w:vertAnchor="text" w:horzAnchor="page" w:tblpXSpec="center" w:tblpY="1723"/>
        <w:tblOverlap w:val="never"/>
        <w:tblW w:w="11621" w:type="dxa"/>
        <w:jc w:val="center"/>
        <w:tblLayout w:type="fixed"/>
        <w:tblCellMar>
          <w:top w:w="0" w:type="dxa"/>
          <w:left w:w="108" w:type="dxa"/>
          <w:bottom w:w="0" w:type="dxa"/>
          <w:right w:w="108" w:type="dxa"/>
        </w:tblCellMar>
      </w:tblPr>
      <w:tblGrid>
        <w:gridCol w:w="688"/>
        <w:gridCol w:w="834"/>
        <w:gridCol w:w="1522"/>
        <w:gridCol w:w="1868"/>
        <w:gridCol w:w="1182"/>
        <w:gridCol w:w="1350"/>
        <w:gridCol w:w="1713"/>
        <w:gridCol w:w="2464"/>
      </w:tblGrid>
      <w:tr w14:paraId="1E3AB38E">
        <w:tblPrEx>
          <w:tblCellMar>
            <w:top w:w="0" w:type="dxa"/>
            <w:left w:w="108" w:type="dxa"/>
            <w:bottom w:w="0" w:type="dxa"/>
            <w:right w:w="108" w:type="dxa"/>
          </w:tblCellMar>
        </w:tblPrEx>
        <w:trPr>
          <w:trHeight w:val="587"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21C054E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sz w:val="21"/>
                <w:szCs w:val="21"/>
                <w:u w:val="none"/>
                <w:lang w:eastAsia="zh-CN"/>
              </w:rPr>
              <w:t>序号</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34EC3F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val="0"/>
                <w:bCs w:val="0"/>
                <w:color w:val="auto"/>
                <w:sz w:val="21"/>
                <w:szCs w:val="21"/>
                <w:highlight w:val="none"/>
                <w:lang w:val="en-US" w:eastAsia="zh-CN"/>
              </w:rPr>
              <w:t>分院名称</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60E95C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面积㎡</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370905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单价(元）</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384161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总金额（元）</w:t>
            </w:r>
          </w:p>
        </w:tc>
        <w:tc>
          <w:tcPr>
            <w:tcW w:w="1713" w:type="dxa"/>
            <w:tcBorders>
              <w:top w:val="single" w:color="000000" w:sz="4" w:space="0"/>
              <w:left w:val="single" w:color="000000" w:sz="4" w:space="0"/>
              <w:bottom w:val="single" w:color="000000" w:sz="4" w:space="0"/>
              <w:right w:val="single" w:color="000000" w:sz="4" w:space="0"/>
            </w:tcBorders>
            <w:noWrap w:val="0"/>
            <w:vAlign w:val="center"/>
          </w:tcPr>
          <w:p w14:paraId="6A8459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限价</w:t>
            </w:r>
          </w:p>
        </w:tc>
        <w:tc>
          <w:tcPr>
            <w:tcW w:w="2464" w:type="dxa"/>
            <w:tcBorders>
              <w:top w:val="single" w:color="000000" w:sz="4" w:space="0"/>
              <w:left w:val="single" w:color="000000" w:sz="4" w:space="0"/>
              <w:bottom w:val="single" w:color="000000" w:sz="4" w:space="0"/>
              <w:right w:val="single" w:color="000000" w:sz="4" w:space="0"/>
            </w:tcBorders>
            <w:noWrap w:val="0"/>
            <w:vAlign w:val="center"/>
          </w:tcPr>
          <w:p w14:paraId="3F16F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备注</w:t>
            </w:r>
          </w:p>
        </w:tc>
      </w:tr>
      <w:tr w14:paraId="45828E42">
        <w:tblPrEx>
          <w:tblCellMar>
            <w:top w:w="0" w:type="dxa"/>
            <w:left w:w="108" w:type="dxa"/>
            <w:bottom w:w="0" w:type="dxa"/>
            <w:right w:w="108" w:type="dxa"/>
          </w:tblCellMar>
        </w:tblPrEx>
        <w:trPr>
          <w:trHeight w:val="962"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55D83D2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b w:val="0"/>
                <w:bCs w:val="0"/>
                <w:color w:val="auto"/>
                <w:sz w:val="21"/>
                <w:szCs w:val="21"/>
                <w:highlight w:val="none"/>
                <w:lang w:val="en-US" w:eastAsia="zh-CN"/>
              </w:rPr>
              <w:t>1</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3D4BD969">
            <w:pPr>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江安县人民医院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6B1C6556">
            <w:pPr>
              <w:keepNext w:val="0"/>
              <w:keepLines w:val="0"/>
              <w:widowControl/>
              <w:suppressLineNumbers w:val="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44900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404F2E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1E50E0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713" w:type="dxa"/>
            <w:vMerge w:val="restart"/>
            <w:tcBorders>
              <w:top w:val="single" w:color="000000" w:sz="4" w:space="0"/>
              <w:left w:val="single" w:color="000000" w:sz="4" w:space="0"/>
              <w:right w:val="single" w:color="000000" w:sz="4" w:space="0"/>
            </w:tcBorders>
            <w:noWrap w:val="0"/>
            <w:vAlign w:val="center"/>
          </w:tcPr>
          <w:p w14:paraId="02210460">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1.最高单价不得高于2.2元/平方</w:t>
            </w:r>
          </w:p>
          <w:p w14:paraId="50CD713F">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2.此报价含维护、保养、年检费（年检须出具有法律效益报告），含税费。</w:t>
            </w:r>
          </w:p>
        </w:tc>
        <w:tc>
          <w:tcPr>
            <w:tcW w:w="2464" w:type="dxa"/>
            <w:vMerge w:val="restart"/>
            <w:tcBorders>
              <w:top w:val="single" w:color="000000" w:sz="4" w:space="0"/>
              <w:left w:val="single" w:color="000000" w:sz="4" w:space="0"/>
              <w:right w:val="single" w:color="000000" w:sz="4" w:space="0"/>
            </w:tcBorders>
            <w:noWrap w:val="0"/>
            <w:vAlign w:val="center"/>
          </w:tcPr>
          <w:p w14:paraId="7BD2ED61">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1.以上内容必须全部填写完整，否则视为报价无效。</w:t>
            </w:r>
          </w:p>
          <w:p w14:paraId="13C4E9E7">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2.报价公司应填写全称、同时加盖印章。</w:t>
            </w:r>
          </w:p>
          <w:p w14:paraId="14C433A8">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3.询价单因字迹潦草或表达不清所引起的后果由报价公司负责。</w:t>
            </w:r>
          </w:p>
          <w:p w14:paraId="2ED7BF07">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4.报价公司的报价不可更改。</w:t>
            </w:r>
          </w:p>
          <w:p w14:paraId="0FA95D50">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5.报价计算错误时，以单价为准。</w:t>
            </w:r>
          </w:p>
          <w:p w14:paraId="09DE1F4D">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6.多页必须盖骑缝章方有效。</w:t>
            </w:r>
          </w:p>
          <w:p w14:paraId="457737E2">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7.具体面积以实际为准。</w:t>
            </w:r>
          </w:p>
        </w:tc>
      </w:tr>
      <w:tr w14:paraId="64EAA37F">
        <w:tblPrEx>
          <w:tblCellMar>
            <w:top w:w="0" w:type="dxa"/>
            <w:left w:w="108" w:type="dxa"/>
            <w:bottom w:w="0" w:type="dxa"/>
            <w:right w:w="108" w:type="dxa"/>
          </w:tblCellMar>
        </w:tblPrEx>
        <w:trPr>
          <w:trHeight w:val="805"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00B8E36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b w:val="0"/>
                <w:bCs w:val="0"/>
                <w:color w:val="auto"/>
                <w:sz w:val="21"/>
                <w:szCs w:val="21"/>
                <w:highlight w:val="none"/>
                <w:lang w:val="en-US" w:eastAsia="zh-CN"/>
              </w:rPr>
              <w:t>2</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2EA29F5C">
            <w:pPr>
              <w:keepNext w:val="0"/>
              <w:keepLines w:val="0"/>
              <w:widowControl/>
              <w:suppressLineNumbers w:val="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江安县康复医院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24357FDE">
            <w:pPr>
              <w:keepNext w:val="0"/>
              <w:keepLines w:val="0"/>
              <w:widowControl/>
              <w:suppressLineNumbers w:val="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8739</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139D77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08E0EA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right w:val="single" w:color="000000" w:sz="4" w:space="0"/>
            </w:tcBorders>
            <w:noWrap w:val="0"/>
            <w:vAlign w:val="center"/>
          </w:tcPr>
          <w:p w14:paraId="052BE4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right w:val="single" w:color="000000" w:sz="4" w:space="0"/>
            </w:tcBorders>
            <w:noWrap w:val="0"/>
            <w:vAlign w:val="center"/>
          </w:tcPr>
          <w:p w14:paraId="3890C9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6FF44351">
        <w:tblPrEx>
          <w:tblCellMar>
            <w:top w:w="0" w:type="dxa"/>
            <w:left w:w="108" w:type="dxa"/>
            <w:bottom w:w="0" w:type="dxa"/>
            <w:right w:w="108" w:type="dxa"/>
          </w:tblCellMar>
        </w:tblPrEx>
        <w:trPr>
          <w:trHeight w:val="805"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654126C0">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b w:val="0"/>
                <w:bCs w:val="0"/>
                <w:color w:val="auto"/>
                <w:sz w:val="21"/>
                <w:szCs w:val="21"/>
                <w:highlight w:val="none"/>
                <w:lang w:val="en-US" w:eastAsia="zh-CN"/>
              </w:rPr>
              <w:t>3</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1C896F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leftChars="0" w:right="0" w:rightChars="0" w:firstLine="0" w:firstLineChars="0"/>
              <w:jc w:val="center"/>
              <w:outlineLvl w:val="0"/>
              <w:rPr>
                <w:rFonts w:hint="eastAsia" w:ascii="宋体" w:hAnsi="宋体"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夕佳山中心卫生院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2574EFF0">
            <w:pPr>
              <w:keepNext w:val="0"/>
              <w:keepLines w:val="0"/>
              <w:widowControl/>
              <w:suppressLineNumbers w:val="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3FFCBB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01DE64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right w:val="single" w:color="000000" w:sz="4" w:space="0"/>
            </w:tcBorders>
            <w:noWrap w:val="0"/>
            <w:vAlign w:val="center"/>
          </w:tcPr>
          <w:p w14:paraId="31DFBB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right w:val="single" w:color="000000" w:sz="4" w:space="0"/>
            </w:tcBorders>
            <w:noWrap w:val="0"/>
            <w:vAlign w:val="center"/>
          </w:tcPr>
          <w:p w14:paraId="1709B8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0832300A">
        <w:tblPrEx>
          <w:tblCellMar>
            <w:top w:w="0" w:type="dxa"/>
            <w:left w:w="108" w:type="dxa"/>
            <w:bottom w:w="0" w:type="dxa"/>
            <w:right w:w="108" w:type="dxa"/>
          </w:tblCellMar>
        </w:tblPrEx>
        <w:trPr>
          <w:trHeight w:val="805"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48AED4D2">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1DF54F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leftChars="0" w:right="0" w:rightChars="0" w:firstLine="0" w:firstLineChars="0"/>
              <w:jc w:val="center"/>
              <w:outlineLvl w:val="0"/>
              <w:rPr>
                <w:rFonts w:hint="eastAsia" w:ascii="宋体" w:hAnsi="宋体"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红桥中心卫生院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0BA4DA66">
            <w:pPr>
              <w:pStyle w:val="2"/>
              <w:jc w:val="center"/>
              <w:rPr>
                <w:rFonts w:hint="eastAsia"/>
                <w:lang w:val="en-US" w:eastAsia="zh-CN"/>
              </w:rPr>
            </w:pPr>
            <w:r>
              <w:rPr>
                <w:rFonts w:hint="eastAsia" w:ascii="宋体" w:hAnsi="宋体" w:eastAsia="宋体" w:cs="宋体"/>
                <w:i w:val="0"/>
                <w:iCs w:val="0"/>
                <w:color w:val="000000"/>
                <w:kern w:val="0"/>
                <w:sz w:val="21"/>
                <w:szCs w:val="21"/>
                <w:u w:val="none"/>
                <w:lang w:val="en-US" w:eastAsia="zh-CN" w:bidi="ar"/>
              </w:rPr>
              <w:t>13990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299A5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3DF5EC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right w:val="single" w:color="000000" w:sz="4" w:space="0"/>
            </w:tcBorders>
            <w:noWrap w:val="0"/>
            <w:vAlign w:val="center"/>
          </w:tcPr>
          <w:p w14:paraId="6C3F8A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right w:val="single" w:color="000000" w:sz="4" w:space="0"/>
            </w:tcBorders>
            <w:noWrap w:val="0"/>
            <w:vAlign w:val="center"/>
          </w:tcPr>
          <w:p w14:paraId="7B38F9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61205B72">
        <w:tblPrEx>
          <w:tblCellMar>
            <w:top w:w="0" w:type="dxa"/>
            <w:left w:w="108" w:type="dxa"/>
            <w:bottom w:w="0" w:type="dxa"/>
            <w:right w:w="108" w:type="dxa"/>
          </w:tblCellMar>
        </w:tblPrEx>
        <w:trPr>
          <w:trHeight w:val="805"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2A284DA4">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27C477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leftChars="0" w:right="0" w:rightChars="0" w:firstLine="0" w:firstLineChars="0"/>
              <w:jc w:val="center"/>
              <w:outlineLvl w:val="0"/>
              <w:rPr>
                <w:rFonts w:hint="eastAsia"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江安县中医医院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08D6381C">
            <w:pPr>
              <w:pStyle w:val="2"/>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2"/>
                <w:sz w:val="21"/>
                <w:szCs w:val="21"/>
                <w:u w:val="none"/>
                <w:lang w:val="en-US" w:eastAsia="zh-CN" w:bidi="ar-SA"/>
              </w:rPr>
              <w:t>54000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699AF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18C65B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right w:val="single" w:color="000000" w:sz="4" w:space="0"/>
            </w:tcBorders>
            <w:noWrap w:val="0"/>
            <w:vAlign w:val="center"/>
          </w:tcPr>
          <w:p w14:paraId="3CD9F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right w:val="single" w:color="000000" w:sz="4" w:space="0"/>
            </w:tcBorders>
            <w:noWrap w:val="0"/>
            <w:vAlign w:val="center"/>
          </w:tcPr>
          <w:p w14:paraId="3F312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3886675B">
        <w:tblPrEx>
          <w:tblCellMar>
            <w:top w:w="0" w:type="dxa"/>
            <w:left w:w="108" w:type="dxa"/>
            <w:bottom w:w="0" w:type="dxa"/>
            <w:right w:w="108" w:type="dxa"/>
          </w:tblCellMar>
        </w:tblPrEx>
        <w:trPr>
          <w:trHeight w:val="805" w:hRule="atLeast"/>
          <w:jc w:val="center"/>
        </w:trPr>
        <w:tc>
          <w:tcPr>
            <w:tcW w:w="688" w:type="dxa"/>
            <w:tcBorders>
              <w:top w:val="single" w:color="000000" w:sz="4" w:space="0"/>
              <w:left w:val="single" w:color="000000" w:sz="4" w:space="0"/>
              <w:bottom w:val="single" w:color="000000" w:sz="4" w:space="0"/>
              <w:right w:val="single" w:color="000000" w:sz="4" w:space="0"/>
            </w:tcBorders>
            <w:noWrap w:val="0"/>
            <w:vAlign w:val="center"/>
          </w:tcPr>
          <w:p w14:paraId="2CAB05EC">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6</w:t>
            </w:r>
          </w:p>
        </w:tc>
        <w:tc>
          <w:tcPr>
            <w:tcW w:w="2356" w:type="dxa"/>
            <w:gridSpan w:val="2"/>
            <w:tcBorders>
              <w:top w:val="single" w:color="000000" w:sz="4" w:space="0"/>
              <w:left w:val="single" w:color="000000" w:sz="4" w:space="0"/>
              <w:bottom w:val="single" w:color="000000" w:sz="4" w:space="0"/>
              <w:right w:val="single" w:color="000000" w:sz="4" w:space="0"/>
            </w:tcBorders>
            <w:noWrap w:val="0"/>
            <w:vAlign w:val="center"/>
          </w:tcPr>
          <w:p w14:paraId="0422C7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leftChars="0" w:right="0" w:rightChars="0" w:firstLine="0" w:firstLineChars="0"/>
              <w:jc w:val="center"/>
              <w:outlineLvl w:val="0"/>
              <w:rPr>
                <w:rFonts w:hint="eastAsia"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江安县妇幼保健院</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19F58B3D">
            <w:pPr>
              <w:pStyle w:val="2"/>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2"/>
                <w:sz w:val="21"/>
                <w:szCs w:val="21"/>
                <w:u w:val="none"/>
                <w:lang w:val="en-US" w:eastAsia="zh-CN" w:bidi="ar-SA"/>
              </w:rPr>
              <w:t>6000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06B887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260360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right w:val="single" w:color="000000" w:sz="4" w:space="0"/>
            </w:tcBorders>
            <w:noWrap w:val="0"/>
            <w:vAlign w:val="center"/>
          </w:tcPr>
          <w:p w14:paraId="2FADBD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right w:val="single" w:color="000000" w:sz="4" w:space="0"/>
            </w:tcBorders>
            <w:noWrap w:val="0"/>
            <w:vAlign w:val="center"/>
          </w:tcPr>
          <w:p w14:paraId="2AE98E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311D8E2D">
        <w:tblPrEx>
          <w:tblCellMar>
            <w:top w:w="0" w:type="dxa"/>
            <w:left w:w="108" w:type="dxa"/>
            <w:bottom w:w="0" w:type="dxa"/>
            <w:right w:w="108" w:type="dxa"/>
          </w:tblCellMar>
        </w:tblPrEx>
        <w:trPr>
          <w:trHeight w:val="805" w:hRule="atLeast"/>
          <w:jc w:val="center"/>
        </w:trPr>
        <w:tc>
          <w:tcPr>
            <w:tcW w:w="3044" w:type="dxa"/>
            <w:gridSpan w:val="3"/>
            <w:tcBorders>
              <w:top w:val="single" w:color="000000" w:sz="4" w:space="0"/>
              <w:left w:val="single" w:color="000000" w:sz="4" w:space="0"/>
              <w:bottom w:val="single" w:color="000000" w:sz="4" w:space="0"/>
              <w:right w:val="single" w:color="000000" w:sz="4" w:space="0"/>
            </w:tcBorders>
            <w:noWrap w:val="0"/>
            <w:vAlign w:val="center"/>
          </w:tcPr>
          <w:p w14:paraId="6774AC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leftChars="0" w:right="0" w:rightChars="0" w:firstLine="0" w:firstLineChars="0"/>
              <w:jc w:val="center"/>
              <w:outlineLvl w:val="0"/>
              <w:rPr>
                <w:rFonts w:hint="eastAsia"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共计平方</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14:paraId="56C7315A">
            <w:pPr>
              <w:pStyle w:val="2"/>
              <w:jc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fldChar w:fldCharType="begin"/>
            </w:r>
            <w:r>
              <w:rPr>
                <w:rFonts w:hint="eastAsia" w:ascii="宋体" w:hAnsi="宋体" w:eastAsia="宋体" w:cs="宋体"/>
                <w:i w:val="0"/>
                <w:iCs w:val="0"/>
                <w:color w:val="000000"/>
                <w:kern w:val="2"/>
                <w:sz w:val="21"/>
                <w:szCs w:val="21"/>
                <w:u w:val="none"/>
                <w:lang w:val="en-US" w:eastAsia="zh-CN" w:bidi="ar-SA"/>
              </w:rPr>
              <w:instrText xml:space="preserve"> = sum(C2:C7) \* MERGEFORMAT </w:instrText>
            </w:r>
            <w:r>
              <w:rPr>
                <w:rFonts w:hint="eastAsia" w:ascii="宋体" w:hAnsi="宋体" w:eastAsia="宋体" w:cs="宋体"/>
                <w:i w:val="0"/>
                <w:iCs w:val="0"/>
                <w:color w:val="000000"/>
                <w:kern w:val="2"/>
                <w:sz w:val="21"/>
                <w:szCs w:val="21"/>
                <w:u w:val="none"/>
                <w:lang w:val="en-US" w:eastAsia="zh-CN" w:bidi="ar-SA"/>
              </w:rPr>
              <w:fldChar w:fldCharType="separate"/>
            </w:r>
            <w:r>
              <w:rPr>
                <w:rFonts w:hint="eastAsia" w:ascii="宋体" w:hAnsi="宋体" w:eastAsia="宋体" w:cs="宋体"/>
                <w:i w:val="0"/>
                <w:iCs w:val="0"/>
                <w:color w:val="000000"/>
                <w:kern w:val="2"/>
                <w:sz w:val="21"/>
                <w:szCs w:val="21"/>
                <w:u w:val="none"/>
                <w:lang w:val="en-US" w:eastAsia="zh-CN" w:bidi="ar-SA"/>
              </w:rPr>
              <w:t>141829.3</w:t>
            </w:r>
            <w:r>
              <w:rPr>
                <w:rFonts w:hint="eastAsia" w:ascii="宋体" w:hAnsi="宋体" w:eastAsia="宋体" w:cs="宋体"/>
                <w:i w:val="0"/>
                <w:iCs w:val="0"/>
                <w:color w:val="000000"/>
                <w:kern w:val="2"/>
                <w:sz w:val="21"/>
                <w:szCs w:val="21"/>
                <w:u w:val="none"/>
                <w:lang w:val="en-US" w:eastAsia="zh-CN" w:bidi="ar-SA"/>
              </w:rPr>
              <w:fldChar w:fldCharType="end"/>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14:paraId="074F69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14:paraId="495D75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1713" w:type="dxa"/>
            <w:vMerge w:val="continue"/>
            <w:tcBorders>
              <w:left w:val="single" w:color="000000" w:sz="4" w:space="0"/>
              <w:bottom w:val="single" w:color="000000" w:sz="4" w:space="0"/>
              <w:right w:val="single" w:color="000000" w:sz="4" w:space="0"/>
            </w:tcBorders>
            <w:noWrap w:val="0"/>
            <w:vAlign w:val="center"/>
          </w:tcPr>
          <w:p w14:paraId="1B23AF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c>
          <w:tcPr>
            <w:tcW w:w="2464" w:type="dxa"/>
            <w:vMerge w:val="continue"/>
            <w:tcBorders>
              <w:left w:val="single" w:color="000000" w:sz="4" w:space="0"/>
              <w:bottom w:val="single" w:color="000000" w:sz="4" w:space="0"/>
              <w:right w:val="single" w:color="000000" w:sz="4" w:space="0"/>
            </w:tcBorders>
            <w:noWrap w:val="0"/>
            <w:vAlign w:val="center"/>
          </w:tcPr>
          <w:p w14:paraId="2E8117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p>
        </w:tc>
      </w:tr>
      <w:tr w14:paraId="5D8BD2FD">
        <w:tblPrEx>
          <w:tblCellMar>
            <w:top w:w="0" w:type="dxa"/>
            <w:left w:w="108" w:type="dxa"/>
            <w:bottom w:w="0" w:type="dxa"/>
            <w:right w:w="108" w:type="dxa"/>
          </w:tblCellMar>
        </w:tblPrEx>
        <w:trPr>
          <w:trHeight w:val="652" w:hRule="atLeast"/>
          <w:jc w:val="center"/>
        </w:trPr>
        <w:tc>
          <w:tcPr>
            <w:tcW w:w="1522" w:type="dxa"/>
            <w:gridSpan w:val="2"/>
            <w:tcBorders>
              <w:top w:val="single" w:color="000000" w:sz="4" w:space="0"/>
              <w:left w:val="single" w:color="000000" w:sz="4" w:space="0"/>
              <w:bottom w:val="single" w:color="000000" w:sz="4" w:space="0"/>
              <w:right w:val="single" w:color="000000" w:sz="4" w:space="0"/>
            </w:tcBorders>
            <w:noWrap w:val="0"/>
            <w:vAlign w:val="center"/>
          </w:tcPr>
          <w:p w14:paraId="14FBF145">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合计</w:t>
            </w:r>
          </w:p>
        </w:tc>
        <w:tc>
          <w:tcPr>
            <w:tcW w:w="10099" w:type="dxa"/>
            <w:gridSpan w:val="6"/>
            <w:tcBorders>
              <w:top w:val="single" w:color="000000" w:sz="4" w:space="0"/>
              <w:left w:val="single" w:color="000000" w:sz="4" w:space="0"/>
              <w:bottom w:val="single" w:color="000000" w:sz="4" w:space="0"/>
              <w:right w:val="single" w:color="000000" w:sz="4" w:space="0"/>
            </w:tcBorders>
            <w:noWrap w:val="0"/>
            <w:vAlign w:val="center"/>
          </w:tcPr>
          <w:p w14:paraId="2CF12A8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val="0"/>
                <w:bCs w:val="0"/>
                <w:color w:val="auto"/>
                <w:sz w:val="21"/>
                <w:szCs w:val="21"/>
                <w:highlight w:val="none"/>
                <w:lang w:val="en-US" w:eastAsia="zh-CN"/>
              </w:rPr>
            </w:pPr>
          </w:p>
        </w:tc>
      </w:tr>
    </w:tbl>
    <w:p w14:paraId="15C49D7C">
      <w:pPr>
        <w:widowControl/>
        <w:snapToGrid w:val="0"/>
        <w:spacing w:line="240" w:lineRule="auto"/>
        <w:jc w:val="left"/>
        <w:textAlignment w:val="baseline"/>
        <w:rPr>
          <w:rFonts w:hint="eastAsia" w:ascii="宋体" w:hAnsi="宋体" w:cs="宋体"/>
          <w:b/>
          <w:kern w:val="0"/>
          <w:sz w:val="24"/>
          <w:szCs w:val="24"/>
        </w:rPr>
      </w:pPr>
    </w:p>
    <w:tbl>
      <w:tblPr>
        <w:tblStyle w:val="6"/>
        <w:tblpPr w:leftFromText="180" w:rightFromText="180" w:vertAnchor="text" w:horzAnchor="page" w:tblpX="336" w:tblpY="160"/>
        <w:tblOverlap w:val="never"/>
        <w:tblW w:w="11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1263"/>
        <w:gridCol w:w="1287"/>
        <w:gridCol w:w="2826"/>
        <w:gridCol w:w="1666"/>
        <w:gridCol w:w="2590"/>
      </w:tblGrid>
      <w:tr w14:paraId="3B2B8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06" w:type="dxa"/>
            <w:noWrap w:val="0"/>
            <w:vAlign w:val="center"/>
          </w:tcPr>
          <w:p w14:paraId="7DC2C790">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公司名称（公章）</w:t>
            </w:r>
          </w:p>
        </w:tc>
        <w:tc>
          <w:tcPr>
            <w:tcW w:w="5376" w:type="dxa"/>
            <w:gridSpan w:val="3"/>
            <w:noWrap w:val="0"/>
            <w:vAlign w:val="center"/>
          </w:tcPr>
          <w:p w14:paraId="56743C33">
            <w:pPr>
              <w:widowControl/>
              <w:snapToGrid w:val="0"/>
              <w:jc w:val="center"/>
              <w:textAlignment w:val="baseline"/>
              <w:rPr>
                <w:rFonts w:hint="eastAsia" w:ascii="宋体" w:hAnsi="宋体" w:eastAsia="宋体" w:cs="宋体"/>
                <w:kern w:val="0"/>
                <w:sz w:val="21"/>
                <w:szCs w:val="21"/>
                <w:lang w:eastAsia="zh-CN"/>
              </w:rPr>
            </w:pPr>
          </w:p>
        </w:tc>
        <w:tc>
          <w:tcPr>
            <w:tcW w:w="1666" w:type="dxa"/>
            <w:noWrap w:val="0"/>
            <w:vAlign w:val="center"/>
          </w:tcPr>
          <w:p w14:paraId="13B24DE2">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法人代表</w:t>
            </w:r>
          </w:p>
        </w:tc>
        <w:tc>
          <w:tcPr>
            <w:tcW w:w="2590" w:type="dxa"/>
            <w:noWrap w:val="0"/>
            <w:vAlign w:val="center"/>
          </w:tcPr>
          <w:p w14:paraId="5B4F3B36">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p>
        </w:tc>
      </w:tr>
      <w:tr w14:paraId="6B85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06" w:type="dxa"/>
            <w:noWrap w:val="0"/>
            <w:vAlign w:val="center"/>
          </w:tcPr>
          <w:p w14:paraId="7C70E4D6">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授权报价人</w:t>
            </w:r>
          </w:p>
        </w:tc>
        <w:tc>
          <w:tcPr>
            <w:tcW w:w="1263" w:type="dxa"/>
            <w:noWrap w:val="0"/>
            <w:vAlign w:val="center"/>
          </w:tcPr>
          <w:p w14:paraId="6B4C85D6">
            <w:pPr>
              <w:widowControl/>
              <w:snapToGrid w:val="0"/>
              <w:jc w:val="center"/>
              <w:textAlignment w:val="baseline"/>
              <w:rPr>
                <w:rFonts w:hint="eastAsia" w:ascii="宋体" w:hAnsi="宋体" w:eastAsia="宋体" w:cs="宋体"/>
                <w:kern w:val="0"/>
                <w:sz w:val="21"/>
                <w:szCs w:val="21"/>
                <w:lang w:eastAsia="zh-CN"/>
              </w:rPr>
            </w:pPr>
          </w:p>
        </w:tc>
        <w:tc>
          <w:tcPr>
            <w:tcW w:w="1287" w:type="dxa"/>
            <w:noWrap w:val="0"/>
            <w:vAlign w:val="center"/>
          </w:tcPr>
          <w:p w14:paraId="66C4E310">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联系电话</w:t>
            </w:r>
          </w:p>
        </w:tc>
        <w:tc>
          <w:tcPr>
            <w:tcW w:w="2826" w:type="dxa"/>
            <w:noWrap w:val="0"/>
            <w:vAlign w:val="top"/>
          </w:tcPr>
          <w:p w14:paraId="649D0056">
            <w:pPr>
              <w:jc w:val="left"/>
              <w:rPr>
                <w:rFonts w:hint="default" w:ascii="宋体" w:hAnsi="宋体" w:eastAsia="宋体" w:cs="宋体"/>
                <w:i w:val="0"/>
                <w:iCs w:val="0"/>
                <w:color w:val="000000"/>
                <w:kern w:val="2"/>
                <w:sz w:val="21"/>
                <w:szCs w:val="21"/>
                <w:u w:val="none"/>
                <w:lang w:val="en-US" w:eastAsia="zh-CN" w:bidi="ar-SA"/>
              </w:rPr>
            </w:pPr>
          </w:p>
        </w:tc>
        <w:tc>
          <w:tcPr>
            <w:tcW w:w="1666" w:type="dxa"/>
            <w:noWrap w:val="0"/>
            <w:vAlign w:val="center"/>
          </w:tcPr>
          <w:p w14:paraId="5D77BB61">
            <w:pPr>
              <w:widowControl/>
              <w:snapToGrid w:val="0"/>
              <w:jc w:val="center"/>
              <w:textAlignment w:val="baseline"/>
              <w:rPr>
                <w:rFonts w:hint="eastAsia" w:ascii="宋体" w:hAnsi="宋体" w:cs="宋体"/>
                <w:b/>
                <w:kern w:val="0"/>
                <w:sz w:val="21"/>
                <w:szCs w:val="21"/>
              </w:rPr>
            </w:pPr>
            <w:r>
              <w:rPr>
                <w:rFonts w:hint="eastAsia" w:ascii="宋体" w:hAnsi="宋体" w:cs="宋体"/>
                <w:b/>
                <w:kern w:val="0"/>
                <w:sz w:val="21"/>
                <w:szCs w:val="21"/>
              </w:rPr>
              <w:t>公司地址</w:t>
            </w:r>
          </w:p>
        </w:tc>
        <w:tc>
          <w:tcPr>
            <w:tcW w:w="2590" w:type="dxa"/>
            <w:noWrap w:val="0"/>
            <w:vAlign w:val="center"/>
          </w:tcPr>
          <w:p w14:paraId="6F649C55">
            <w:pPr>
              <w:widowControl/>
              <w:snapToGrid w:val="0"/>
              <w:jc w:val="center"/>
              <w:textAlignment w:val="baseline"/>
              <w:rPr>
                <w:rFonts w:hint="default" w:ascii="宋体" w:hAnsi="宋体" w:eastAsia="宋体" w:cs="宋体"/>
                <w:kern w:val="0"/>
                <w:sz w:val="21"/>
                <w:szCs w:val="21"/>
                <w:lang w:val="en-US" w:eastAsia="zh-CN"/>
              </w:rPr>
            </w:pPr>
          </w:p>
        </w:tc>
      </w:tr>
    </w:tbl>
    <w:p w14:paraId="6F348583">
      <w:pPr>
        <w:wordWrap w:val="0"/>
        <w:adjustRightInd w:val="0"/>
        <w:snapToGrid w:val="0"/>
        <w:spacing w:line="400" w:lineRule="exact"/>
        <w:jc w:val="left"/>
        <w:rPr>
          <w:rFonts w:hint="default" w:hAnsi="宋体" w:eastAsia="宋体" w:cs="宋体"/>
          <w:b/>
          <w:bCs/>
          <w:sz w:val="24"/>
          <w:highlight w:val="none"/>
          <w:lang w:val="en-US" w:eastAsia="zh-CN"/>
        </w:rPr>
      </w:pPr>
      <w:r>
        <w:rPr>
          <w:rFonts w:hint="default" w:hAnsi="宋体" w:eastAsia="宋体" w:cs="宋体"/>
          <w:b/>
          <w:bCs/>
          <w:sz w:val="24"/>
          <w:highlight w:val="none"/>
          <w:lang w:val="en-US" w:eastAsia="zh-CN"/>
        </w:rPr>
        <w:t xml:space="preserve">消防设施维护、维修内容 </w:t>
      </w:r>
      <w:r>
        <w:rPr>
          <w:rFonts w:hint="eastAsia" w:hAnsi="宋体" w:eastAsia="宋体" w:cs="宋体"/>
          <w:b/>
          <w:bCs/>
          <w:sz w:val="24"/>
          <w:highlight w:val="none"/>
          <w:lang w:val="en-US" w:eastAsia="zh-CN"/>
        </w:rPr>
        <w:t>（实质性要求）</w:t>
      </w:r>
      <w:bookmarkStart w:id="10" w:name="_GoBack"/>
      <w:bookmarkEnd w:id="10"/>
    </w:p>
    <w:p w14:paraId="26E4A620">
      <w:pPr>
        <w:wordWrap w:val="0"/>
        <w:adjustRightInd w:val="0"/>
        <w:snapToGrid w:val="0"/>
        <w:spacing w:line="400" w:lineRule="exact"/>
        <w:ind w:firstLine="472" w:firstLineChars="196"/>
        <w:jc w:val="left"/>
        <w:rPr>
          <w:rFonts w:hint="default" w:hAnsi="宋体" w:eastAsia="宋体" w:cs="宋体"/>
          <w:b/>
          <w:bCs/>
          <w:sz w:val="24"/>
          <w:highlight w:val="none"/>
          <w:lang w:val="en-US" w:eastAsia="zh-CN"/>
        </w:rPr>
      </w:pPr>
      <w:r>
        <w:rPr>
          <w:rFonts w:hint="default" w:hAnsi="宋体" w:eastAsia="宋体" w:cs="宋体"/>
          <w:b/>
          <w:bCs/>
          <w:sz w:val="24"/>
          <w:highlight w:val="none"/>
          <w:lang w:val="en-US" w:eastAsia="zh-CN"/>
        </w:rPr>
        <w:t>（一）消防系统的维护、维修范围</w:t>
      </w:r>
    </w:p>
    <w:p w14:paraId="39B1347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1、火灾自动报警系统；</w:t>
      </w:r>
    </w:p>
    <w:p w14:paraId="0B2AF22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2、自动喷水灭火系统（水泡系统）；</w:t>
      </w:r>
    </w:p>
    <w:p w14:paraId="7B716FC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3、气体灭火系统；</w:t>
      </w:r>
    </w:p>
    <w:p w14:paraId="68C1E66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4、消火栓系统；</w:t>
      </w:r>
    </w:p>
    <w:p w14:paraId="29B4EEA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5、防火分隔系统；</w:t>
      </w:r>
    </w:p>
    <w:p w14:paraId="1390298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6、防排烟系统；</w:t>
      </w:r>
    </w:p>
    <w:p w14:paraId="07D4558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7、应急照明和疏散指示系统；</w:t>
      </w:r>
    </w:p>
    <w:p w14:paraId="4BE8BE4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8、消防通讯设备；</w:t>
      </w:r>
    </w:p>
    <w:p w14:paraId="60F9425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 xml:space="preserve">9、消防报警联动系统的线路和消防联动线路及消防联动电源线路、电梯、管路出现问题包括短路、断路。 </w:t>
      </w:r>
    </w:p>
    <w:p w14:paraId="5E27E27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0" w:name="_Toc282764236"/>
      <w:r>
        <w:rPr>
          <w:rFonts w:hint="eastAsia" w:hAnsi="宋体" w:eastAsia="宋体" w:cs="宋体"/>
          <w:sz w:val="24"/>
          <w:highlight w:val="none"/>
          <w:lang w:val="en-US" w:eastAsia="zh-CN"/>
        </w:rPr>
        <w:t>10、</w:t>
      </w:r>
      <w:r>
        <w:rPr>
          <w:rFonts w:hint="default" w:hAnsi="宋体" w:eastAsia="宋体" w:cs="宋体"/>
          <w:sz w:val="24"/>
          <w:highlight w:val="none"/>
          <w:lang w:val="en-US" w:eastAsia="zh-CN"/>
        </w:rPr>
        <w:t>维保公司将对维护、维修范围内出现的故障</w:t>
      </w:r>
      <w:r>
        <w:rPr>
          <w:rFonts w:hint="eastAsia" w:hAnsi="宋体" w:eastAsia="宋体" w:cs="宋体"/>
          <w:sz w:val="24"/>
          <w:highlight w:val="none"/>
          <w:lang w:val="en-US" w:eastAsia="zh-CN"/>
        </w:rPr>
        <w:t>无偿</w:t>
      </w:r>
      <w:r>
        <w:rPr>
          <w:rFonts w:hint="default" w:hAnsi="宋体" w:eastAsia="宋体" w:cs="宋体"/>
          <w:sz w:val="24"/>
          <w:highlight w:val="none"/>
          <w:lang w:val="en-US" w:eastAsia="zh-CN"/>
        </w:rPr>
        <w:t xml:space="preserve">人工进行修复(如人为的短路、断路、设备损坏等故障则不属维修范围)；如设备老化损坏，无法修复的，由贵单位负责购买新的设备，维保公司负责安装。 </w:t>
      </w:r>
    </w:p>
    <w:p w14:paraId="67FCA0F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11、</w:t>
      </w:r>
      <w:r>
        <w:rPr>
          <w:rFonts w:hint="default" w:hAnsi="宋体" w:eastAsia="宋体" w:cs="宋体"/>
          <w:sz w:val="24"/>
          <w:highlight w:val="none"/>
          <w:lang w:val="en-US" w:eastAsia="zh-CN"/>
        </w:rPr>
        <w:t xml:space="preserve">系统和维修过程中贵单位应提供必要的工作环境及人员配合，否则出现不可预知的损失维保公司有权拒绝赔付及提供以上服务。 </w:t>
      </w:r>
    </w:p>
    <w:p w14:paraId="1889C30C">
      <w:pPr>
        <w:wordWrap w:val="0"/>
        <w:adjustRightInd w:val="0"/>
        <w:snapToGrid w:val="0"/>
        <w:spacing w:line="400" w:lineRule="exact"/>
        <w:ind w:firstLine="241" w:firstLineChars="100"/>
        <w:jc w:val="left"/>
        <w:rPr>
          <w:rFonts w:hint="default" w:hAnsi="宋体" w:eastAsia="宋体" w:cs="宋体"/>
          <w:b/>
          <w:bCs/>
          <w:sz w:val="24"/>
          <w:highlight w:val="none"/>
          <w:lang w:val="en-US" w:eastAsia="zh-CN"/>
        </w:rPr>
      </w:pPr>
      <w:r>
        <w:rPr>
          <w:rFonts w:hint="default" w:hAnsi="宋体" w:eastAsia="宋体" w:cs="宋体"/>
          <w:b/>
          <w:bCs/>
          <w:sz w:val="24"/>
          <w:highlight w:val="none"/>
          <w:lang w:val="en-US" w:eastAsia="zh-CN"/>
        </w:rPr>
        <w:t>（二）日常维保工作安排</w:t>
      </w:r>
    </w:p>
    <w:p w14:paraId="199635F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1、每月按计划抽样测试部分设备，致使一年内所有设备全部测试一遍。确保设备的正常运行。</w:t>
      </w:r>
    </w:p>
    <w:p w14:paraId="49B1348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2、每季度或半年 (视消防工程大小)进行全面的检查，发现问题及时处理。</w:t>
      </w:r>
    </w:p>
    <w:p w14:paraId="471B507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3、每年我公司派专业的消防维保队伍进行整体的消防测试，确保设备的正常运行。</w:t>
      </w:r>
    </w:p>
    <w:p w14:paraId="04F4831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4、协助业主找专业的探测器清洗厂，完成对所有探测器的清洗工作。</w:t>
      </w:r>
    </w:p>
    <w:p w14:paraId="2995138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5、</w:t>
      </w:r>
      <w:r>
        <w:rPr>
          <w:rFonts w:hint="default" w:hAnsi="宋体" w:eastAsia="宋体" w:cs="宋体"/>
          <w:sz w:val="24"/>
          <w:highlight w:val="none"/>
          <w:lang w:val="en-US" w:eastAsia="zh-CN"/>
        </w:rPr>
        <w:t>协助或完全负责同消防部门的业务，确保不因消防问题而耽误其它工作的正常进行。</w:t>
      </w:r>
    </w:p>
    <w:p w14:paraId="0D45206F">
      <w:pPr>
        <w:wordWrap w:val="0"/>
        <w:adjustRightInd w:val="0"/>
        <w:snapToGrid w:val="0"/>
        <w:spacing w:line="400" w:lineRule="exact"/>
        <w:ind w:firstLine="241" w:firstLineChars="100"/>
        <w:jc w:val="left"/>
        <w:rPr>
          <w:rFonts w:hint="default" w:hAnsi="宋体" w:eastAsia="宋体" w:cs="宋体"/>
          <w:b/>
          <w:bCs/>
          <w:sz w:val="24"/>
          <w:highlight w:val="none"/>
          <w:lang w:val="en-US" w:eastAsia="zh-CN"/>
        </w:rPr>
      </w:pPr>
      <w:r>
        <w:rPr>
          <w:rFonts w:hint="default" w:hAnsi="宋体" w:eastAsia="宋体" w:cs="宋体"/>
          <w:b/>
          <w:bCs/>
          <w:sz w:val="24"/>
          <w:highlight w:val="none"/>
          <w:lang w:val="en-US" w:eastAsia="zh-CN"/>
        </w:rPr>
        <w:t xml:space="preserve">（三）消防系统中各子系统的服务范围及内容 </w:t>
      </w:r>
    </w:p>
    <w:bookmarkEnd w:id="0"/>
    <w:p w14:paraId="27376C5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1、室内消防栓系统的维护保养</w:t>
      </w:r>
    </w:p>
    <w:p w14:paraId="5A385DF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  维修保养工作内容</w:t>
      </w:r>
    </w:p>
    <w:p w14:paraId="01B5D24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1.1.1检查消防栓箱配置是否完整齐全，包括检查每个消防栓口的静压是否符合设计或规范要求，检查栓口橡胶是否老化、龟裂或脱落，检查水带是否霉烂、穿孔，检查卷盘胶管是否老化、龟裂，检查破玻按钮是否破碎；</w:t>
      </w:r>
    </w:p>
    <w:p w14:paraId="65BFDF0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1.1.2检查测试消防栓破玻系统，试验破玻按钮，警铃是否鸣响、消防水泵是否启动、消防中心是否有报警信号及消防水泵状态显示；</w:t>
      </w:r>
    </w:p>
    <w:p w14:paraId="49563A5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1.1.3 检查各阀门是否处于正常工作状态，是否完好不渗漏；</w:t>
      </w:r>
    </w:p>
    <w:p w14:paraId="0255AB1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1.1.4 检查保养消防栓系统的水泵接合器，确保完整、不渗漏；</w:t>
      </w:r>
    </w:p>
    <w:p w14:paraId="3E4E8A7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1.1.5 定期试验消防栓，检查其喷水充实水柱是否达到规范或设计要求；</w:t>
      </w:r>
    </w:p>
    <w:p w14:paraId="09F15AE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1.1.6 定期试验安全泄压阀是否灵敏、可靠，检查水锤吸纳器工作是否有效；</w:t>
      </w:r>
    </w:p>
    <w:p w14:paraId="0D7AA5B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1.1.7 检查消防栓管网的减压阀及其过滤器是否正常，定期清洗过滤器；</w:t>
      </w:r>
    </w:p>
    <w:p w14:paraId="7E73AA3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1.1.8 定期检查阀门是否开关灵活、有效，阀门关闭不严或不能灵活使用的应及时修理，对阀门的接触面发现有缺陷的，需进行研磨工作，无法修复的予以更换。定期对阀门转动部位和螺栓加黄油润滑；</w:t>
      </w:r>
    </w:p>
    <w:p w14:paraId="62DC73D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1.1.9 检查止回阀启闭是否灵活、有效；</w:t>
      </w:r>
    </w:p>
    <w:p w14:paraId="143DBEB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1.1.10 定期对消防栓系统管网进行全面检查，对腐蚀严重的管道予与更换，对油漆脱落的管道及时除锈刷防锈漆和标志漆。</w:t>
      </w:r>
    </w:p>
    <w:p w14:paraId="65A8379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 维修保养工作标准</w:t>
      </w:r>
    </w:p>
    <w:p w14:paraId="127DE40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1.2.1消防栓箱内配置齐全，各项配件完好，消防栓口静压符合设计或规范要求；</w:t>
      </w:r>
    </w:p>
    <w:p w14:paraId="77B635D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1.2.2 试验消防栓破玻按钮，消防栓水泵启动，各项联动设施动作，消防中心有报警信号和消防水泵状态显示；</w:t>
      </w:r>
    </w:p>
    <w:p w14:paraId="3791942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1.2.3各阀门处于正常的开或关状态，且有明显标志，阀体完好、不漏水；</w:t>
      </w:r>
    </w:p>
    <w:p w14:paraId="6C47E83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1.2.4消防栓系统水泵接合器外观完好，配置齐全，无变形、无渗漏、无缺损；</w:t>
      </w:r>
    </w:p>
    <w:p w14:paraId="7D2CEA4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1.2.5 消防栓喷射时，其充实水柱达到设计或规范要求；</w:t>
      </w:r>
    </w:p>
    <w:p w14:paraId="551BD1B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1.2.6 安全泄压阀和水锤吸纳器外观完好，工作灵敏、可靠、有效；</w:t>
      </w:r>
    </w:p>
    <w:p w14:paraId="2C23AE7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1.2.7减压阀和过滤器外观完好，减压阀工作稳定、可靠，且减压比例准确，过滤器内无杂物，水流畅通；</w:t>
      </w:r>
    </w:p>
    <w:p w14:paraId="7E2D280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1.2.8 阀门开关灵活、有效，无锈蚀、渗漏；</w:t>
      </w:r>
    </w:p>
    <w:p w14:paraId="348E8D4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1.2.9 止回阀启闭灵活、有效，无水回流，外观完好；</w:t>
      </w:r>
    </w:p>
    <w:p w14:paraId="08A9089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1.2.10 消防栓系统管网外观完好，无变形、无锈蚀、脱漆和渗漏。</w:t>
      </w:r>
    </w:p>
    <w:p w14:paraId="6B78B66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 维修保养工作计划</w:t>
      </w:r>
    </w:p>
    <w:p w14:paraId="6F829A3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1.3.1 每月检查消防栓箱配置是否完整齐全，包括检查每个消防栓口的静压是否符合规范要求，检查栓口橡胶是否老化、龟裂或脱落，检查水带是否霉烂、穿孔，检查卷盘胶管是否老化、龟裂，检查破玻按钮是否破碎；</w:t>
      </w:r>
    </w:p>
    <w:p w14:paraId="7406EDF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1.3.2 每月检查测试消防栓破玻系统，试验破玻按钮，警铃是否鸣响、消防水泵是否启动、消防中心是否有报警信号及消防水泵状态显示；</w:t>
      </w:r>
    </w:p>
    <w:p w14:paraId="4B120AC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1.3.3 每月检查各阀门是否处于正常工作状态，是否完好不渗漏；</w:t>
      </w:r>
    </w:p>
    <w:p w14:paraId="795F187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1.3.4 每月检查保养消防栓系统的水泵接合器，确保完整、不渗漏；</w:t>
      </w:r>
    </w:p>
    <w:p w14:paraId="21C5E8B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1.3.5 每季至少一次试验消防栓，检查其喷水充实水栓是否达到规范或设计要求；</w:t>
      </w:r>
    </w:p>
    <w:p w14:paraId="0E0CBB1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1.3.6 每季定期试验安全泄压阀是否灵敏、可靠，检查水锤吸纳器工作是否有效；</w:t>
      </w:r>
    </w:p>
    <w:p w14:paraId="4566E28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1.3.7每月检查消防栓管网的减压阀及其过滤器是否正常，每季定期清洗过滤器；</w:t>
      </w:r>
    </w:p>
    <w:p w14:paraId="7E178D3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1.3.8 每季定期检查阀门是否开关灵活、有效，阀门关闭不严或不能灵活使用的应及时修理，对阀门的接触面发现有缺陷的，需进行研磨工作，无法修复的予以更换。定期对阀门转动部位螺栓加黄油；</w:t>
      </w:r>
    </w:p>
    <w:p w14:paraId="2EB16A9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1.3.9 每月检查止回阀启闭是否灵活、有效；</w:t>
      </w:r>
    </w:p>
    <w:p w14:paraId="733AEA7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1" w:name="_Toc282764237"/>
      <w:r>
        <w:rPr>
          <w:rFonts w:hint="default" w:hAnsi="宋体" w:eastAsia="宋体" w:cs="宋体"/>
          <w:sz w:val="24"/>
          <w:highlight w:val="none"/>
          <w:lang w:val="en-US" w:eastAsia="zh-CN"/>
        </w:rPr>
        <w:t>1.3.10 每季定期对消防栓系统管网进行全面检查，对腐蚀严重的管道予与更换，对油漆脱落的管道及时除锈刷防锈漆和标志漆。</w:t>
      </w:r>
    </w:p>
    <w:bookmarkEnd w:id="1"/>
    <w:p w14:paraId="6642D04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2、自动喷水灭火系统的维护保养</w:t>
      </w:r>
    </w:p>
    <w:p w14:paraId="6562BBB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 维修保养工作内容</w:t>
      </w:r>
    </w:p>
    <w:p w14:paraId="6ED97B9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2.1.1 检查试验楼层喷淋管网末端试验装置是否正常（水压、流量是否达到要求）；</w:t>
      </w:r>
    </w:p>
    <w:p w14:paraId="7373813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2.1.2 检查试验水流指示器动作是否灵敏，报警是否及时准确，复位是否正常，消防中心是否有显示等；</w:t>
      </w:r>
    </w:p>
    <w:p w14:paraId="2E9DF24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2.1.3 检查喷淋头、管道是否完好，有无爆裂隐患；</w:t>
      </w:r>
    </w:p>
    <w:p w14:paraId="47D9CC1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2.1.4 检查各个阀门是否处于正常开启状态，试验楼层信号阀门开关是否灵活，消防中心是否有关闭信号显示；</w:t>
      </w:r>
    </w:p>
    <w:p w14:paraId="0393250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2.1.5 检查保养喷淋系统的水泵接合器，确保完整、不渗漏；</w:t>
      </w:r>
    </w:p>
    <w:p w14:paraId="439D36E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2.1.6 定期试验安全泄压阀是否灵敏、可靠，检查水锤吸纳器工作是否有效；</w:t>
      </w:r>
    </w:p>
    <w:p w14:paraId="70AF0B3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2.1.7 检查喷淋立管的自动排气阀的工作状态是否正常；</w:t>
      </w:r>
    </w:p>
    <w:p w14:paraId="40CE579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2.1.8检查试验湿式报警阀、水力警铃动作是否灵敏，喷淋泵是否启动，消防中心显示是否准确；</w:t>
      </w:r>
    </w:p>
    <w:p w14:paraId="48DD51B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2.1.9 定期检查阀门是否开关灵活、有效，阀门关闭不严或不能灵活使用的应及时修理，对阀门的接触面发现有缺陷的，需进行研磨工作，无法修复的予以更换。定期对阀门转动部位螺栓加黄油；</w:t>
      </w:r>
    </w:p>
    <w:p w14:paraId="54C13C3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2.1.10 检查止回阀启闭是否灵活、有效；</w:t>
      </w:r>
    </w:p>
    <w:p w14:paraId="186ABC7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2.1.11 定期对喷淋系统管网进行全面检查，对腐蚀严重的管道予与更换，对油漆脱落的管道及时除锈刷防锈漆和标志漆。</w:t>
      </w:r>
    </w:p>
    <w:p w14:paraId="2A6CAA0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  维修保养工作标准</w:t>
      </w:r>
    </w:p>
    <w:p w14:paraId="1F7EF3B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2.2.1 楼层喷淋管网末端试验压力（动、静压力）流量符合设计或规范要求；</w:t>
      </w:r>
    </w:p>
    <w:p w14:paraId="32099EF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2.2.2 水流指示器动作灵敏、报警准确、及时，复位正常，消防中心显示报警地址正确；</w:t>
      </w:r>
    </w:p>
    <w:p w14:paraId="49BE28F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2.2.3 喷淋头外观完好，无滴漏或爆破隐患；</w:t>
      </w:r>
    </w:p>
    <w:p w14:paraId="4113320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2.2.4 阀门处于正常开、关状态，有明显标志，信号阀门开、关灵活、有效，消防中心有关闭信号显示，报警地址准确；</w:t>
      </w:r>
    </w:p>
    <w:p w14:paraId="296E24E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2.2.5 喷淋系统水泵接合器外观完好，配置齐全，无变形、无渗漏、无缺损；</w:t>
      </w:r>
    </w:p>
    <w:p w14:paraId="313A277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2.2.6 安全泄压阀和水锤吸纳器外观完好，工作灵敏、可靠、有效；</w:t>
      </w:r>
    </w:p>
    <w:p w14:paraId="42003AA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2.2.7 喷淋立管的自动排气阀无堵塞或漏水，工作正常；</w:t>
      </w:r>
    </w:p>
    <w:p w14:paraId="5EA6C57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2.2.8 湿式报警阀外观完好，无渗漏，放水试验时动作灵敏，其压力开关联动喷淋泵启动，消防中心报警显示准确；</w:t>
      </w:r>
    </w:p>
    <w:p w14:paraId="5C20ED2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2.2.9 阀门开关灵活、有效，无锈蚀、渗漏；</w:t>
      </w:r>
    </w:p>
    <w:p w14:paraId="33DDADE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2.2.10 止回阀启闭灵活、有效，无水回流，外观完好；</w:t>
      </w:r>
    </w:p>
    <w:p w14:paraId="64D92D3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2.2.11 喷淋管网外观完好，无变形、无锈蚀、脱漆和渗漏。</w:t>
      </w:r>
    </w:p>
    <w:p w14:paraId="67FC4E0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  维修保养工作计划</w:t>
      </w:r>
    </w:p>
    <w:p w14:paraId="444C0E9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2.3.1 每月分批次试验楼层喷淋管网末端试验装置是否正常（水压、流量是否达到要求）；每周检查一次楼层喷淋末端静压是否达到规范要求；</w:t>
      </w:r>
    </w:p>
    <w:p w14:paraId="0336859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2.3.2 每月检查试验水流指示器动作是否灵敏，报警是否及时准确，复位是否正常，消防中心是否有显示等；</w:t>
      </w:r>
    </w:p>
    <w:p w14:paraId="5676316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2.3.3 每月检查喷淋头、管道是否完好，有无破裂隐患；</w:t>
      </w:r>
    </w:p>
    <w:p w14:paraId="6837F0B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2.3.4 每月检查各个阀门是否处于正常开启状态，试验楼层信号阀门开关是否灵活，消防中心是否有关闭信号显示；</w:t>
      </w:r>
    </w:p>
    <w:p w14:paraId="19B505B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2.3.5 每月检查保养喷淋系统的水泵接合器，确保完整、不渗漏；</w:t>
      </w:r>
    </w:p>
    <w:p w14:paraId="4F88A91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2.3.6 每季定期试验安全泄压阀是否灵敏、可靠，检查水锤吸纳器工作是否有效；</w:t>
      </w:r>
    </w:p>
    <w:p w14:paraId="231E189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2.3.7 每月检查喷淋立管的自动排气阀的工作状态是否正常；</w:t>
      </w:r>
    </w:p>
    <w:p w14:paraId="24CB858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2.3.8 每月检查试验湿式报警阀、水力警铃动作是否灵敏，喷淋泵是否启动，消防中心显示是否准确；</w:t>
      </w:r>
    </w:p>
    <w:p w14:paraId="2EE9D1E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2.3.9 每季定期检查阀门是否开关灵活、有效，阀门关闭不严或不能灵活使用的应及时修理，对阀门的接触面发现有缺陷的，需进行研磨工作，无法修复的予以更换。定期对阀门转动部位螺栓加黄油；</w:t>
      </w:r>
    </w:p>
    <w:p w14:paraId="592DFD6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2.3.10 每月检查止回阀启闭是否灵活、有效；</w:t>
      </w:r>
    </w:p>
    <w:p w14:paraId="1343E96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2" w:name="_Toc282764238"/>
      <w:r>
        <w:rPr>
          <w:rFonts w:hint="default" w:hAnsi="宋体" w:eastAsia="宋体" w:cs="宋体"/>
          <w:sz w:val="24"/>
          <w:highlight w:val="none"/>
          <w:lang w:val="en-US" w:eastAsia="zh-CN"/>
        </w:rPr>
        <w:t>2.3.11 每季定期对喷淋系统管网进行全面检查，对腐蚀严重的管道予与更换，对油漆脱落的管道及时除锈刷防锈漆和标志漆。</w:t>
      </w:r>
    </w:p>
    <w:bookmarkEnd w:id="2"/>
    <w:p w14:paraId="22F286B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3、火灾自动报警系统的维护保养</w:t>
      </w:r>
    </w:p>
    <w:p w14:paraId="32CD8ED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  维修保养工作内容</w:t>
      </w:r>
    </w:p>
    <w:p w14:paraId="2EF3ECB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3.1.1 用专用测试仪器分期分批次全面测试探测器的动作及确认灯的显示，试验烟、温感探测器动作是否灵敏；</w:t>
      </w:r>
    </w:p>
    <w:p w14:paraId="73DC14F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3.1.2 检查试验主控屏是否正常，有报警信号源时是否正确显示某区探测器动作，警铃蜂鸣是否鸣响；</w:t>
      </w:r>
    </w:p>
    <w:p w14:paraId="75CBED4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3.1.3 试验手报按钮报警，本层及其上、下各一层警铃是否动作鸣响，消防中心显示报警区域是否准确；</w:t>
      </w:r>
    </w:p>
    <w:p w14:paraId="2476432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3.1.4 检查主控屏和联动控制屏的各项输入、输出显示功能是否正常，并全面清洁、保养；</w:t>
      </w:r>
    </w:p>
    <w:p w14:paraId="4BAE737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3.1.5 检查各个界面（模块）和主机系统外围设备的通信、控制信号是否正常，检查界面（模块）输出电压是否正常，确保正常运行；</w:t>
      </w:r>
    </w:p>
    <w:p w14:paraId="2A68BEE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3.1.6 检查工作电池组、充电器的工作状态以及检查备用电池的电压及其他指标参数是否符合要求；</w:t>
      </w:r>
    </w:p>
    <w:p w14:paraId="109D417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3.1.7 检查系统设备所有接线端子是否松动、破损和脱落；</w:t>
      </w:r>
    </w:p>
    <w:p w14:paraId="7284F84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3.1.8 定期对备用电源进行1～2次充放电试验；1～3次主和备用电源自动切换试验；</w:t>
      </w:r>
    </w:p>
    <w:p w14:paraId="668ADA8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3.1.9 定期对感烟、感温探测器进行清洁，必要时进行清洗，确保报警灵敏；</w:t>
      </w:r>
    </w:p>
    <w:p w14:paraId="2EF46BA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3.1.10 定期报警主机控制程序有否乱码，确保主机功能正常；</w:t>
      </w:r>
    </w:p>
    <w:p w14:paraId="6B1E3E9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3.1.11 定期测试报警主机系统的接地电阻是否满足要求，并做好记录。</w:t>
      </w:r>
    </w:p>
    <w:p w14:paraId="68A888D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  维修保养工作标准</w:t>
      </w:r>
    </w:p>
    <w:p w14:paraId="55F39DA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3.2.1 探测器动作灵敏，报警准确；</w:t>
      </w:r>
    </w:p>
    <w:p w14:paraId="2B74970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3.2.2 主控屏工作正常，正常显示报警区域和输出联动信号；</w:t>
      </w:r>
    </w:p>
    <w:p w14:paraId="67BE1C6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3.2.3 手报按钮动作灵敏，报警准确，联动功能正常；</w:t>
      </w:r>
    </w:p>
    <w:p w14:paraId="2B276D5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3.2.4 主控屏和联动控制屏外观完好、清洁，各项输入、输出显示功能正常；</w:t>
      </w:r>
    </w:p>
    <w:p w14:paraId="34D1A63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3.2.5 界面（模块）各项参数正常，与外围设备的通信、控制信号正常；</w:t>
      </w:r>
    </w:p>
    <w:p w14:paraId="6E04327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3.2.6 电池组的电压及其他参数正常，供电稳定、可靠；</w:t>
      </w:r>
    </w:p>
    <w:p w14:paraId="39D87E8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3.2.7 系统设备所有接线牢固，无松动、破损或脱落；</w:t>
      </w:r>
    </w:p>
    <w:p w14:paraId="6B0FF8C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3.2.8 主、备电源自动切换功能正常；</w:t>
      </w:r>
    </w:p>
    <w:p w14:paraId="46AD4B3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3.2.9 探测器外观完好，内外部清洁，功能正常；</w:t>
      </w:r>
    </w:p>
    <w:p w14:paraId="2150F7E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3.2.10 报警主机控制程序正确，各项功能正常；</w:t>
      </w:r>
    </w:p>
    <w:p w14:paraId="248A1E9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3.2.11 系统接地电阻符合规范或设计要求。</w:t>
      </w:r>
    </w:p>
    <w:p w14:paraId="142594F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  维修保养工作计划</w:t>
      </w:r>
    </w:p>
    <w:p w14:paraId="71A5E76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3.3.1 每月用专用仪器分期分批全面测试探测器的动作及确认灯的显示，试验烟、温感探测器动作是否灵敏；</w:t>
      </w:r>
    </w:p>
    <w:p w14:paraId="4080E40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3.3.2 每月检查试验主控屏是否正常，有报警信号源时是否正确显示某区探测器动作，警铃蜂鸣是否鸣响；</w:t>
      </w:r>
    </w:p>
    <w:p w14:paraId="65BD6FE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3.3.3 每月试验手报按钮报警，本层及其上、下各一层警铃是否动作鸣响；</w:t>
      </w:r>
    </w:p>
    <w:p w14:paraId="38FBFF7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3.3.4 每月检查主控屏和联动控制屏的各个显示功能是否正常，并全面清洁、保养；</w:t>
      </w:r>
    </w:p>
    <w:p w14:paraId="3ADEDD7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3.3.5 每月检查各个界面（模块）和主机系统外围设备的反馈信号是否正常，每季定期测试界面（模块）输出电压是否正常，确保正常运行；</w:t>
      </w:r>
    </w:p>
    <w:p w14:paraId="770F7D1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3.3.6 每季检查工作电池组、充电器的工作状态以及检查备用电池的电压及其他指标参数是否符合要求；</w:t>
      </w:r>
    </w:p>
    <w:p w14:paraId="51A5FBF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3.3.7 每季检查系统设备所有接线端子是否松动、破损和脱落。</w:t>
      </w:r>
    </w:p>
    <w:p w14:paraId="3268AB7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3.3.8 每季定期对备用电源进行1～2次充放电试验；1～3次主和备用电源自动切换试验。</w:t>
      </w:r>
    </w:p>
    <w:p w14:paraId="76990A7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3.3.9 每季定期对感烟、感温探测器进行清洁，必要时进行清洗，确保报警灵敏；</w:t>
      </w:r>
    </w:p>
    <w:p w14:paraId="7B9BFF2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3.3.10 每月定期报警主机控制程序有否乱码，确保主机功能正常；</w:t>
      </w:r>
    </w:p>
    <w:p w14:paraId="7236B95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3" w:name="_Toc282764239"/>
      <w:r>
        <w:rPr>
          <w:rFonts w:hint="default" w:hAnsi="宋体" w:eastAsia="宋体" w:cs="宋体"/>
          <w:sz w:val="24"/>
          <w:highlight w:val="none"/>
          <w:lang w:val="en-US" w:eastAsia="zh-CN"/>
        </w:rPr>
        <w:t>3.3.11 每月定期测试报警主机系统的接地电阻是否满足要求，并做好记录。</w:t>
      </w:r>
    </w:p>
    <w:bookmarkEnd w:id="3"/>
    <w:p w14:paraId="074DD47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4、七氟丙烷灭火系统的维护保养</w:t>
      </w:r>
    </w:p>
    <w:p w14:paraId="6ACB351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  维修保养工作内容</w:t>
      </w:r>
    </w:p>
    <w:p w14:paraId="21F314D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4.1.1 检查保养各台气体灭火控制器，测试其功能是否正常；</w:t>
      </w:r>
    </w:p>
    <w:p w14:paraId="46F9D45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4.1.2 检查启动瓶药剂贮瓶的压力是否符合出厂充装压力和设计要求（压力表指针是否在绿区），有无泄漏现象；</w:t>
      </w:r>
    </w:p>
    <w:p w14:paraId="08E6E91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4.1.3 检查试验手动、自动紧急启、停放气装置功能是否正常；</w:t>
      </w:r>
    </w:p>
    <w:p w14:paraId="55DE75C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4.1.4 定期对电磁阀、瓶头阀解体清洗，加硅油润滑；</w:t>
      </w:r>
    </w:p>
    <w:p w14:paraId="0CDF1B3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4.1.5 模拟自动报警系统中的烟、温感探测器同时动作，通风空调是否停止，防火阀是否关闭，检查气瓶的电磁阀是否在规定的时间内动作，控制屏是否有放气信号，消防中心是否有信号，警铃、蜂鸣器是否动作；</w:t>
      </w:r>
    </w:p>
    <w:p w14:paraId="1C8A03C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4.1.6 检查气体灭火系统启动瓶、药剂瓶有无变形，有无腐蚀、脱漆；</w:t>
      </w:r>
    </w:p>
    <w:p w14:paraId="59ECEE0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4.1.7 检查控制气管有无变形或松脱，检查高压软管有无变形、生锈或老化；</w:t>
      </w:r>
    </w:p>
    <w:p w14:paraId="0773FFB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4.1.8 检查气体保护区域（防护区）内的围护结构、开口等是否符合要求。</w:t>
      </w:r>
    </w:p>
    <w:p w14:paraId="338D106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  维修保养工作标准</w:t>
      </w:r>
    </w:p>
    <w:p w14:paraId="74CAAF4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4.2.1 气体灭火控制器完好，控制功能正常；</w:t>
      </w:r>
    </w:p>
    <w:p w14:paraId="16CD1FC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4.2.2 启动瓶和药剂贮瓶压力符合出厂标准和设计要求；</w:t>
      </w:r>
    </w:p>
    <w:p w14:paraId="16EFB88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4.2.3 手动、自动、紧急启、停放气装置灵敏、有效；</w:t>
      </w:r>
    </w:p>
    <w:p w14:paraId="715A574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4.2.4 电磁阀、瓶头阀动作灵活、有效；</w:t>
      </w:r>
    </w:p>
    <w:p w14:paraId="4E8C4B9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4.2.5 模拟试验时，通风空调停止，防火阀关闭，电磁阀延时动作，各项联动功能正常；</w:t>
      </w:r>
    </w:p>
    <w:p w14:paraId="381B8FE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4.2.6 启动瓶、药剂贮瓶完好，无变形、无腐蚀、脱漆；</w:t>
      </w:r>
    </w:p>
    <w:p w14:paraId="1D04630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4.2.7 控制气管无变形、松脱，连接牢固、可靠，高压软管无变形、生锈或老化，连接稳固；</w:t>
      </w:r>
    </w:p>
    <w:p w14:paraId="0049739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4.2.8 防护区围护结构、开口符合规范要求。</w:t>
      </w:r>
    </w:p>
    <w:p w14:paraId="2EA4ED3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  维修保养工作计划</w:t>
      </w:r>
    </w:p>
    <w:p w14:paraId="458A7B0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4.3.1 每月检查保养各套气体灭火控制器，测试其功能是否正常；</w:t>
      </w:r>
    </w:p>
    <w:p w14:paraId="425BB20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4.3.2 每月检查启动瓶和药剂贮瓶的压力是否符合出厂充装压力和设计要求（压力表指针是否在绿区），有无泄漏现象；</w:t>
      </w:r>
    </w:p>
    <w:p w14:paraId="18F415E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4.3.3 每月检查试验手动、自动紧急启、停放气装置功能是否正常；</w:t>
      </w:r>
    </w:p>
    <w:p w14:paraId="1BB0C1A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4.3.4 每年至少一次对电磁阀、瓶头阀解体清洗，加硅油润滑；</w:t>
      </w:r>
    </w:p>
    <w:p w14:paraId="31CE955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4.3.5 每月模拟自动报警系统中的烟、温感探测器同时动作，通风空调是否停止，防火阀是否关闭，检查气瓶的电磁阀是否在规定的时间内动作，控制屏是否有放气信号，消防中心是否有信号，警铃、蜂鸣器是否动作；</w:t>
      </w:r>
    </w:p>
    <w:p w14:paraId="455FCB4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4.3.6 每月检查气体灭火系统启动瓶、药剂瓶有无变形，有无腐蚀、脱漆；</w:t>
      </w:r>
    </w:p>
    <w:p w14:paraId="76EBDBE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4.3.7 每月检查控制气管有无变形或松脱，检查高压软管有无变形、生锈或老化；</w:t>
      </w:r>
    </w:p>
    <w:p w14:paraId="02D4E6E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4" w:name="_Toc282764240"/>
      <w:r>
        <w:rPr>
          <w:rFonts w:hint="default" w:hAnsi="宋体" w:eastAsia="宋体" w:cs="宋体"/>
          <w:sz w:val="24"/>
          <w:highlight w:val="none"/>
          <w:lang w:val="en-US" w:eastAsia="zh-CN"/>
        </w:rPr>
        <w:t>4.3.8 每月检查气体保护区域（防护区）内的围护结构、开口等是否符合要求。</w:t>
      </w:r>
    </w:p>
    <w:bookmarkEnd w:id="4"/>
    <w:p w14:paraId="5E63748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5、防火卷帘的维护保养</w:t>
      </w:r>
    </w:p>
    <w:p w14:paraId="4EFA74B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  维修保养工作内容</w:t>
      </w:r>
    </w:p>
    <w:p w14:paraId="26BB48E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5.1.1 试验感烟、感温探测器的联动卷帘降落的功能是否正常；</w:t>
      </w:r>
    </w:p>
    <w:p w14:paraId="276455C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5.1.2 试验现场手动控制按钮的功能是否正常，试验防火卷帘远程启降功能是否正常；</w:t>
      </w:r>
    </w:p>
    <w:p w14:paraId="719C28A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5.1.3 试验防火卷帘控制器的功能是否正常；</w:t>
      </w:r>
    </w:p>
    <w:p w14:paraId="130F337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5.1.4 检查试验卷帘导轨和转动机构（含链条）运转是否正常，检查卷帘叶片有无变形；</w:t>
      </w:r>
    </w:p>
    <w:p w14:paraId="6C35828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5.1.5 试验防火卷帘的联动功能是否正常，降落时消防中心有无显示。</w:t>
      </w:r>
    </w:p>
    <w:p w14:paraId="18FC711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  维修保养工作标准</w:t>
      </w:r>
    </w:p>
    <w:p w14:paraId="063760C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5.2.1 烟、温感动作，联动卷帘降落功能正常；</w:t>
      </w:r>
    </w:p>
    <w:p w14:paraId="6F54BF2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5.2.2 现场和远程控制卷帘起、降功能正常；</w:t>
      </w:r>
    </w:p>
    <w:p w14:paraId="6654B4F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5.2.3 防火卷帘控制器功能正常；</w:t>
      </w:r>
    </w:p>
    <w:p w14:paraId="6FC3825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5.2.4 防火卷帘导轨和转动机构运转灵活，卷帘叶片无变形、脱落；</w:t>
      </w:r>
    </w:p>
    <w:p w14:paraId="44593BE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5.2.5 防火卷帘联动功能正常，降落时消防中心有显示。</w:t>
      </w:r>
    </w:p>
    <w:p w14:paraId="014AFB2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5.3  维修保养工作计划</w:t>
      </w:r>
    </w:p>
    <w:p w14:paraId="5B5D000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5.3.1 每月试验感烟、感温探测器的联动卷帘降落的功能是否正常；</w:t>
      </w:r>
    </w:p>
    <w:p w14:paraId="0A00CDE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5.3.2 每月试验现场手动控制按钮的功能是否正常，试验防火卷帘远程启降功能是否正常；</w:t>
      </w:r>
    </w:p>
    <w:p w14:paraId="0127878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5.3.3 每月试验防火卷帘控制器的功能是否正常；</w:t>
      </w:r>
    </w:p>
    <w:p w14:paraId="2DA4233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5.3.4 每月检查试验卷帘导轨和转动机构运转是否正常，检查卷帘叶片有无变形；</w:t>
      </w:r>
    </w:p>
    <w:p w14:paraId="0ACF1AE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5" w:name="_Toc282764241"/>
      <w:r>
        <w:rPr>
          <w:rFonts w:hint="default" w:hAnsi="宋体" w:eastAsia="宋体" w:cs="宋体"/>
          <w:sz w:val="24"/>
          <w:highlight w:val="none"/>
          <w:lang w:val="en-US" w:eastAsia="zh-CN"/>
        </w:rPr>
        <w:t>5.3.5 每月试验防火卷帘的联动功能是否正常，降落时消防中心有无显示。</w:t>
      </w:r>
    </w:p>
    <w:bookmarkEnd w:id="5"/>
    <w:p w14:paraId="744AB50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6、通讯系统的维护保养</w:t>
      </w:r>
    </w:p>
    <w:p w14:paraId="175CD34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6.1  维修保养工作内容</w:t>
      </w:r>
    </w:p>
    <w:p w14:paraId="79E60BC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6.1.1 检查消防专用电话或插孔是否完好；</w:t>
      </w:r>
    </w:p>
    <w:p w14:paraId="7ED2B38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6.1.2定期试验每个消防专用电话或插孔的通讯是否畅通，语音是否清晰、响亮，消防中心电话主机显示通话部位是否正确。</w:t>
      </w:r>
    </w:p>
    <w:p w14:paraId="587953C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6.2  维修保养工作标准</w:t>
      </w:r>
    </w:p>
    <w:p w14:paraId="6801F1E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6.2.1 消防专用电话或插孔外观完好、清洁；</w:t>
      </w:r>
    </w:p>
    <w:p w14:paraId="4BAA2F5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6.2.2 消防专用电话通讯畅通，语音清晰、响亮，消防中心电话主机显示通话部位正确。</w:t>
      </w:r>
    </w:p>
    <w:p w14:paraId="035BA44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6.3 维修保养工作计划</w:t>
      </w:r>
    </w:p>
    <w:p w14:paraId="18AFAA7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6.3.1 每周检查消防专用电话或插孔是否完好；</w:t>
      </w:r>
    </w:p>
    <w:p w14:paraId="340EF83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6" w:name="_Toc282764242"/>
      <w:r>
        <w:rPr>
          <w:rFonts w:hint="default" w:hAnsi="宋体" w:eastAsia="宋体" w:cs="宋体"/>
          <w:sz w:val="24"/>
          <w:highlight w:val="none"/>
          <w:lang w:val="en-US" w:eastAsia="zh-CN"/>
        </w:rPr>
        <w:t>6.3.2 每季定期试验每个电话或插孔的通讯是否畅通，语音是否清晰、响亮，消防中心电话主机显示部位是否正确。</w:t>
      </w:r>
    </w:p>
    <w:bookmarkEnd w:id="6"/>
    <w:p w14:paraId="63A459C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7、消防广播的维护保养</w:t>
      </w:r>
    </w:p>
    <w:p w14:paraId="34EDE4C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7.1  维修保养工作内容</w:t>
      </w:r>
    </w:p>
    <w:p w14:paraId="15BB1CC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7.1.1 试验火灾应急广播设备的功能是否正常。在试验中不论扬声器当时处于何种工作状态，都应能紧急切换到火灾事故广播上，音响清晰；</w:t>
      </w:r>
    </w:p>
    <w:p w14:paraId="601A137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7.1.2 检查保养消防扬声器，测试楼层扬声器的效果，声响是否响亮清晰；</w:t>
      </w:r>
    </w:p>
    <w:p w14:paraId="1DBBC3C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7.1.3 定期对消防广播主机进行一次维护保养；</w:t>
      </w:r>
    </w:p>
    <w:p w14:paraId="64101C7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7.1.4 试验消防广播的选层广播功能是否正常。</w:t>
      </w:r>
    </w:p>
    <w:p w14:paraId="4AFF487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7.2  维修保养工作标准</w:t>
      </w:r>
    </w:p>
    <w:p w14:paraId="625D913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7.2.1 消防广播系统强制切换功能正常，且音响响亮、清晰；</w:t>
      </w:r>
    </w:p>
    <w:p w14:paraId="27C05A7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7.2.2 扬声器外观完好，声响效果响亮、清晰；</w:t>
      </w:r>
    </w:p>
    <w:p w14:paraId="4FAE8B0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7.2.3 广播主机运转灵活、可靠，控制功能正常；</w:t>
      </w:r>
    </w:p>
    <w:p w14:paraId="4746545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7.2.4 消防广播系统选层准确、可靠，功能正常。</w:t>
      </w:r>
    </w:p>
    <w:p w14:paraId="61598FF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7.3  维修保养工作计划</w:t>
      </w:r>
    </w:p>
    <w:p w14:paraId="2238A88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7.3.1 每季试验火灾应急广播设备的功能是否正常。在试验中不论扬声器当时处于何种工作状态，都应能紧急切换到火灾事故广播上，音响清晰；</w:t>
      </w:r>
    </w:p>
    <w:p w14:paraId="216BF1F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7.3.2 每月分批次检查保养楼层消防扬声器并测试其声响是否响亮、清晰；</w:t>
      </w:r>
    </w:p>
    <w:p w14:paraId="00717DE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7.3.3 每季定期对消防广播主机进行一次维护保养；</w:t>
      </w:r>
    </w:p>
    <w:p w14:paraId="30DB32C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7" w:name="_Toc282764243"/>
      <w:r>
        <w:rPr>
          <w:rFonts w:hint="default" w:hAnsi="宋体" w:eastAsia="宋体" w:cs="宋体"/>
          <w:sz w:val="24"/>
          <w:highlight w:val="none"/>
          <w:lang w:val="en-US" w:eastAsia="zh-CN"/>
        </w:rPr>
        <w:t>7.3.4 每月试验消防广播的选层广播功能是否正常。</w:t>
      </w:r>
    </w:p>
    <w:bookmarkEnd w:id="7"/>
    <w:p w14:paraId="524DE07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8、消防联动系统（含防排烟系统）的维护保养</w:t>
      </w:r>
    </w:p>
    <w:p w14:paraId="4D89EE7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  维修保养工作内容</w:t>
      </w:r>
    </w:p>
    <w:p w14:paraId="246B91E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8.1.1 检查试验消防正压送风机（排烟风机）及正压送风阀（排烟阀）的联动功能是否正常；</w:t>
      </w:r>
    </w:p>
    <w:p w14:paraId="2165EE6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8.1.2 测试空调通风系统、排风系统的防火阀功能及联动讯号功能是否正常；</w:t>
      </w:r>
    </w:p>
    <w:p w14:paraId="2FF8DA6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8.1.3 测试消防电梯的人工迫降的信号功能是否正常；</w:t>
      </w:r>
    </w:p>
    <w:p w14:paraId="4A74E0A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8.1.4 测试非消防电梯迫降首层的信号和联锁信号功能是否正常；</w:t>
      </w:r>
    </w:p>
    <w:p w14:paraId="4312667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8.1.5 测试以上各联动机构消防中心相应控制屏的讯号是否正常；</w:t>
      </w:r>
    </w:p>
    <w:p w14:paraId="47FB7C1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8.1.6 测试楼层非消防电源自动切断功能是否正常；</w:t>
      </w:r>
    </w:p>
    <w:p w14:paraId="612AA24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8.1.7 检查试验联动警铃的功能是否正常；</w:t>
      </w:r>
    </w:p>
    <w:p w14:paraId="1BC9C37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8.1.8 检查试验联动广播的功能是否正常；</w:t>
      </w:r>
    </w:p>
    <w:p w14:paraId="4E76E1D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8.1.9 测试正压送风机（排烟风机）现场和远程启停控制功能是否正常；</w:t>
      </w:r>
    </w:p>
    <w:p w14:paraId="0C2CEE0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8.1.10 定期对正压送风机（排烟风机）、正压送风阀（排烟阀）进行保养，对转动部位加润滑油并调整风机皮带松紧度等。</w:t>
      </w:r>
    </w:p>
    <w:p w14:paraId="186A914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  维修保养工作标准</w:t>
      </w:r>
    </w:p>
    <w:p w14:paraId="14E5F43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8.2.1 风机风阀联动功能正常，动作准确；</w:t>
      </w:r>
    </w:p>
    <w:p w14:paraId="0019DED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8.2.2 防火阀阀体和易熔片完好，控制及反馈信号通讯畅通正常；</w:t>
      </w:r>
    </w:p>
    <w:p w14:paraId="13B5C22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8.2.3 消防电梯人工迫降功能正常；</w:t>
      </w:r>
    </w:p>
    <w:p w14:paraId="2C188C7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8.2.4 联动试验时有迫降电梯的信号输出，电压符合要求；</w:t>
      </w:r>
    </w:p>
    <w:p w14:paraId="4EB58D3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8.2.5 各联动设备与消防中心控制屏或联动柜的功能正常；</w:t>
      </w:r>
    </w:p>
    <w:p w14:paraId="07271BE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8.2.6 联动楼层非消防电源自动切断功能正常；</w:t>
      </w:r>
    </w:p>
    <w:p w14:paraId="24B6905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8.2.7 联动警铃的功能正常；</w:t>
      </w:r>
    </w:p>
    <w:p w14:paraId="527B466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8.2.8 联动广播的功能正常；</w:t>
      </w:r>
    </w:p>
    <w:p w14:paraId="7E683E3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8.2.9 现场和远程启、停风机的控制功能正常；</w:t>
      </w:r>
    </w:p>
    <w:p w14:paraId="1AD8BA7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8.2.10 风机运行平稳，噪声低，风量、风压达到要求，风阀开、关灵活，密封性好，风机皮带松紧度适中。</w:t>
      </w:r>
    </w:p>
    <w:p w14:paraId="72723CB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  维修保养工作计划</w:t>
      </w:r>
    </w:p>
    <w:p w14:paraId="19FDE02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8.3.1 每月检查试验消防正压送风机（排烟风机）及正压送风阀（排烟阀）的联动功能是否正常；</w:t>
      </w:r>
    </w:p>
    <w:p w14:paraId="0DD21EB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8.3.2 每季测试空调通风系统、排风系统的防火阀功能及联动讯号功能是否正常；</w:t>
      </w:r>
    </w:p>
    <w:p w14:paraId="48BDF7A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8.3.3 每季测试消防电梯的人工迫降的信号功能是否正常；</w:t>
      </w:r>
    </w:p>
    <w:p w14:paraId="0205833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8.3.4 每季测试非消防电梯迫降首层的信号和联锁信号功能是否正常；</w:t>
      </w:r>
    </w:p>
    <w:p w14:paraId="2A2BEE0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8.3.5 每季测试以上各联动机构消防中心相应控制屏的讯号是否正常；</w:t>
      </w:r>
    </w:p>
    <w:p w14:paraId="799FF40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8.3.6 每季测试楼层非消防电源自动切断功能是否正常；</w:t>
      </w:r>
    </w:p>
    <w:p w14:paraId="33674AA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8.3.7 每季检查试验联动警铃的功能是否正常；</w:t>
      </w:r>
    </w:p>
    <w:p w14:paraId="6699A4A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8.3.8 每季检查试验联动广播的功能是否正常；</w:t>
      </w:r>
    </w:p>
    <w:p w14:paraId="1FA8344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8.3.9 每月测试正压送风机（排烟风机）就地和远程启停控制功能是否正常；</w:t>
      </w:r>
    </w:p>
    <w:p w14:paraId="7F25819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8" w:name="_Toc282764244"/>
      <w:r>
        <w:rPr>
          <w:rFonts w:hint="default" w:hAnsi="宋体" w:eastAsia="宋体" w:cs="宋体"/>
          <w:sz w:val="24"/>
          <w:highlight w:val="none"/>
          <w:lang w:val="en-US" w:eastAsia="zh-CN"/>
        </w:rPr>
        <w:t>8.3.10 每季定期对正压送风机（排烟风机）、正压送风阀（排烟阀）进行保养，对转动部位加润滑油并调整皮带松紧度等；</w:t>
      </w:r>
    </w:p>
    <w:bookmarkEnd w:id="8"/>
    <w:p w14:paraId="5448375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9、水泵、恒压泵、控制柜、联动柜的维护保养</w:t>
      </w:r>
    </w:p>
    <w:p w14:paraId="43E8101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  维修保养工作内容</w:t>
      </w:r>
    </w:p>
    <w:p w14:paraId="3ADB393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9.1.1 检查试验自动和手动启动消防水泵，观察流量、压力、运行电流是否正常，并做好记录存档；</w:t>
      </w:r>
    </w:p>
    <w:p w14:paraId="0E4480D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9.1.2 检查各控制柜到消防中心信号是否正常，控制柜各指示灯各功能是否正常；</w:t>
      </w:r>
    </w:p>
    <w:p w14:paraId="068FDEA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9.1.3 定期检查联动柜内部电路，测试其功能是否正常，并进行吸尘、紧固接线的保养工作；</w:t>
      </w:r>
    </w:p>
    <w:p w14:paraId="463CCD7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9.1.4 定期检查消防水泵主备电源自动切换装置是否正常。打开水泵出水管上的放水试验阀，用主电源启动消防水泵，消防水泵启动应正常；关掉主电源，主、备电源切换正常，试验1~3次；</w:t>
      </w:r>
    </w:p>
    <w:p w14:paraId="680F25F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9.1.5 定期测试水泵的相间及对地电阻是否符合要求，并做好记录；</w:t>
      </w:r>
    </w:p>
    <w:p w14:paraId="10F1F7E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9.1.6 定期测试消防水泵的故障自投功能是否正常；</w:t>
      </w:r>
    </w:p>
    <w:p w14:paraId="05684CF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9.1.7 定期添加或更换水泵的润滑油。</w:t>
      </w:r>
    </w:p>
    <w:p w14:paraId="20A0987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  维修保养工作标准</w:t>
      </w:r>
    </w:p>
    <w:p w14:paraId="251593C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9.2.1 水泵运行平稳，流量、压力达到设计要求；</w:t>
      </w:r>
    </w:p>
    <w:p w14:paraId="535BD9C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9.2.2 控制柜与消防中心信号通讯正常、准确，显示正确；</w:t>
      </w:r>
    </w:p>
    <w:p w14:paraId="7FDE704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9.2.3 控制柜、联动柜内接线无松脱、无撞火烧花，清洁无尘，功能正常；</w:t>
      </w:r>
    </w:p>
    <w:p w14:paraId="4D8D742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9.2.4 消防水泵末端双电源控制箱主备电源自动切换投入功能正常；</w:t>
      </w:r>
    </w:p>
    <w:p w14:paraId="15BCF92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9.2.5 水泵的相间及对地绝缘电阻符合要求；</w:t>
      </w:r>
    </w:p>
    <w:p w14:paraId="3003DB5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9.2.6 消防水泵控制柜的故障自投功能正常，即一台故障时，另一台能自动投入使用；</w:t>
      </w:r>
    </w:p>
    <w:p w14:paraId="3380882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9.2.7 水泵轴承润滑充分、可靠，水泵运行平稳，轴承不过热。</w:t>
      </w:r>
    </w:p>
    <w:p w14:paraId="3BD7B4E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  维修保养工作计划</w:t>
      </w:r>
    </w:p>
    <w:p w14:paraId="4ADED37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9.3.1 每月检查试验自动和手动启动消防水泵，观察流量、压力、运行电流是否正常，并做好记录存档；</w:t>
      </w:r>
    </w:p>
    <w:p w14:paraId="2344A42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9.3.2 每月检查各控制柜到消防中心信号是否正常，控制柜各指示灯各功能是否正常；</w:t>
      </w:r>
    </w:p>
    <w:p w14:paraId="68C480F3">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9.3.3 每月定期检查联动柜内部电路，测试其功能是否正常，并进行吸尘、紧固接线的保养工作；</w:t>
      </w:r>
    </w:p>
    <w:p w14:paraId="0D79279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9.3.4 每月定期检查消防水泵主备电源自动切换装置是否正常。打开水泵出水管上的放水试验阀，用主电源启动消防水泵，消防水泵启动应正常；关掉主电源，主、备电源切换正常，试验1~3次；</w:t>
      </w:r>
    </w:p>
    <w:p w14:paraId="5B07A31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9.3.5 每季定期测试水泵的相间及对地电阻是否符合要求，并做好记录；</w:t>
      </w:r>
    </w:p>
    <w:p w14:paraId="0493E84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9.3.6 每月定期测试消防水泵的故障自投功能是否正常；</w:t>
      </w:r>
    </w:p>
    <w:p w14:paraId="45BC4FC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9.3.7 每季定期添加或更换水泵的润滑油。</w:t>
      </w:r>
    </w:p>
    <w:p w14:paraId="5E0C2B8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bookmarkStart w:id="9" w:name="_Toc282764245"/>
      <w:bookmarkEnd w:id="9"/>
      <w:r>
        <w:rPr>
          <w:rFonts w:hint="default" w:hAnsi="宋体" w:eastAsia="宋体" w:cs="宋体"/>
          <w:sz w:val="24"/>
          <w:highlight w:val="none"/>
          <w:lang w:val="en-US" w:eastAsia="zh-CN"/>
        </w:rPr>
        <w:t>10、应急疏散系统的维护保养</w:t>
      </w:r>
    </w:p>
    <w:p w14:paraId="32BCE25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  维修保养工作内容</w:t>
      </w:r>
    </w:p>
    <w:p w14:paraId="2C48E1D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10.1.1 检查防火门的开启力度是否适中，闭门器有无漏油或松动；</w:t>
      </w:r>
    </w:p>
    <w:p w14:paraId="5C376C1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10.1.2 检查双扇防火门的关闭顺序是否正确；</w:t>
      </w:r>
    </w:p>
    <w:p w14:paraId="14A3972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10.1.3 检查防火门的密封性是否良好，钢质防火门有无生锈、脱漆现象；</w:t>
      </w:r>
    </w:p>
    <w:p w14:paraId="791BE64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10.1.4 检查应急灯、出口指示灯、疏散指示灯的外观是否完好，灯炮（管）有无烧毁，充放电试验是否正常；</w:t>
      </w:r>
    </w:p>
    <w:p w14:paraId="25B4386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10.1.5 测试应急灯、出口及疏散指示灯的蓄电量是否达到规范要求时间。</w:t>
      </w:r>
    </w:p>
    <w:p w14:paraId="03D7927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  维修保养工作标准</w:t>
      </w:r>
    </w:p>
    <w:p w14:paraId="5C77938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10.2.1 防火门开启力度适中，闭门器无松动、漏油，自动复位灵活；</w:t>
      </w:r>
    </w:p>
    <w:p w14:paraId="4DF17AD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10.2.2 防火门有先后关闭顺序的关闭顺序正确；</w:t>
      </w:r>
    </w:p>
    <w:p w14:paraId="091C751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10.2.3 防火门的密封性良好，无变形，钢质防火门无生锈、脱漆现象；</w:t>
      </w:r>
    </w:p>
    <w:p w14:paraId="050CC10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10.2.4 应急灯、出口指示灯、疏散指示灯外观完好，充放电正常；</w:t>
      </w:r>
    </w:p>
    <w:p w14:paraId="5747E5E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10.2.5 应急灯、出口指示灯、疏散指示灯蓄电量达到规范要求。</w:t>
      </w:r>
    </w:p>
    <w:p w14:paraId="6A7218E2">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10.3  维修保养工作计划</w:t>
      </w:r>
    </w:p>
    <w:p w14:paraId="0A9DDA8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10.3.1 每月检查防火门的开启力度是否适中，闭门器有无漏油或松动；</w:t>
      </w:r>
    </w:p>
    <w:p w14:paraId="5965B60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 xml:space="preserve">10.3.2 每月检查双扇防火门的关闭顺序是否正确； </w:t>
      </w:r>
    </w:p>
    <w:p w14:paraId="0C8B65C7">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10.3.3 每月检查防火门的密封性是否良好，钢质防火门有无生锈、脱漆现象；</w:t>
      </w:r>
    </w:p>
    <w:p w14:paraId="735C1C8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10.3.4 每月检查应急灯、出口指示灯、疏散指示灯的外观是否完好，灯炮（管）有无烧毁，充放电试验是否正常；</w:t>
      </w:r>
    </w:p>
    <w:p w14:paraId="1C225AF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10.3.5 每半年测试应急灯、出口及疏散指示灯的蓄电量是否达到规范要求时间。</w:t>
      </w:r>
    </w:p>
    <w:p w14:paraId="750CDEC3">
      <w:pPr>
        <w:wordWrap w:val="0"/>
        <w:adjustRightInd w:val="0"/>
        <w:snapToGrid w:val="0"/>
        <w:spacing w:line="400" w:lineRule="exact"/>
        <w:ind w:firstLine="472" w:firstLineChars="196"/>
        <w:jc w:val="left"/>
        <w:rPr>
          <w:rFonts w:hint="default" w:hAnsi="宋体" w:eastAsia="宋体" w:cs="宋体"/>
          <w:b/>
          <w:bCs/>
          <w:sz w:val="24"/>
          <w:highlight w:val="none"/>
          <w:lang w:val="en-US" w:eastAsia="zh-CN"/>
        </w:rPr>
      </w:pPr>
      <w:r>
        <w:rPr>
          <w:rFonts w:hint="default" w:hAnsi="宋体" w:eastAsia="宋体" w:cs="宋体"/>
          <w:b/>
          <w:bCs/>
          <w:sz w:val="24"/>
          <w:highlight w:val="none"/>
          <w:lang w:val="en-US" w:eastAsia="zh-CN"/>
        </w:rPr>
        <w:t>（三）年度保养内容</w:t>
      </w:r>
    </w:p>
    <w:p w14:paraId="700E9E4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1、</w:t>
      </w:r>
      <w:r>
        <w:rPr>
          <w:rFonts w:hint="default" w:hAnsi="宋体" w:eastAsia="宋体" w:cs="宋体"/>
          <w:sz w:val="24"/>
          <w:highlight w:val="none"/>
          <w:lang w:val="en-US" w:eastAsia="zh-CN"/>
        </w:rPr>
        <w:t>每年5月份对全院消防供配电设施、火灾自动报警系统、火灾应急广播、消防通讯、水灭火系统、气体灭火系统、防排烟系统、防火卷帘、防火门、灭火器进行设备设施运行状态检测是否正常。</w:t>
      </w:r>
    </w:p>
    <w:p w14:paraId="6B68FB2C">
      <w:pPr>
        <w:wordWrap w:val="0"/>
        <w:adjustRightInd w:val="0"/>
        <w:snapToGrid w:val="0"/>
        <w:spacing w:line="400" w:lineRule="exact"/>
        <w:ind w:firstLine="472" w:firstLineChars="196"/>
        <w:jc w:val="left"/>
        <w:rPr>
          <w:rFonts w:hint="default" w:hAnsi="宋体" w:eastAsia="宋体" w:cs="宋体"/>
          <w:b/>
          <w:bCs/>
          <w:sz w:val="24"/>
          <w:highlight w:val="none"/>
          <w:lang w:val="en-US" w:eastAsia="zh-CN"/>
        </w:rPr>
      </w:pPr>
      <w:r>
        <w:rPr>
          <w:rFonts w:hint="eastAsia" w:hAnsi="宋体" w:eastAsia="宋体" w:cs="宋体"/>
          <w:b/>
          <w:bCs/>
          <w:sz w:val="24"/>
          <w:highlight w:val="none"/>
          <w:lang w:val="en-US" w:eastAsia="zh-CN"/>
        </w:rPr>
        <w:t>（四）</w:t>
      </w:r>
      <w:r>
        <w:rPr>
          <w:rFonts w:hint="default" w:hAnsi="宋体" w:eastAsia="宋体" w:cs="宋体"/>
          <w:b/>
          <w:bCs/>
          <w:sz w:val="24"/>
          <w:highlight w:val="none"/>
          <w:lang w:val="en-US" w:eastAsia="zh-CN"/>
        </w:rPr>
        <w:t>质量保证措施</w:t>
      </w:r>
    </w:p>
    <w:p w14:paraId="68E1F598">
      <w:pPr>
        <w:wordWrap w:val="0"/>
        <w:adjustRightInd w:val="0"/>
        <w:snapToGrid w:val="0"/>
        <w:spacing w:line="400" w:lineRule="exact"/>
        <w:ind w:firstLine="480" w:firstLineChars="200"/>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1、</w:t>
      </w:r>
      <w:r>
        <w:rPr>
          <w:rFonts w:hint="default" w:hAnsi="宋体" w:eastAsia="宋体" w:cs="宋体"/>
          <w:sz w:val="24"/>
          <w:highlight w:val="none"/>
          <w:lang w:val="en-US" w:eastAsia="zh-CN"/>
        </w:rPr>
        <w:t>质量管理方针</w:t>
      </w:r>
    </w:p>
    <w:p w14:paraId="5EB7589C">
      <w:pPr>
        <w:wordWrap w:val="0"/>
        <w:adjustRightInd w:val="0"/>
        <w:snapToGrid w:val="0"/>
        <w:spacing w:line="400" w:lineRule="exact"/>
        <w:ind w:firstLine="480" w:firstLineChars="200"/>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①坚持《消防设施安装验收标准及规范》，对消防工程的维护保养质量实施全过程质量控制，在整个过程中贯彻“安全可靠，质量第一”的方针，以严密的质量管理，周到的服务体系，为用户消防体系实现安全，可靠及时运转。</w:t>
      </w:r>
    </w:p>
    <w:p w14:paraId="458A488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2、</w:t>
      </w:r>
      <w:r>
        <w:rPr>
          <w:rFonts w:hint="default" w:hAnsi="宋体" w:eastAsia="宋体" w:cs="宋体"/>
          <w:sz w:val="24"/>
          <w:highlight w:val="none"/>
          <w:lang w:val="en-US" w:eastAsia="zh-CN"/>
        </w:rPr>
        <w:t>质量管理体系</w:t>
      </w:r>
    </w:p>
    <w:p w14:paraId="0425056E">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①实行公司和项目部两级管理制度，公司质检部负责对消防设施总体质量进行检查，监督，并负责组织检测工作。质检员负责对消防设施维保全过程的质量进行检查、验收和管理，对维保工程质量负责，并做好原始记录。</w:t>
      </w:r>
    </w:p>
    <w:p w14:paraId="0D385E8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eastAsia" w:hAnsi="宋体" w:eastAsia="宋体" w:cs="宋体"/>
          <w:sz w:val="24"/>
          <w:highlight w:val="none"/>
          <w:lang w:val="en-US" w:eastAsia="zh-CN"/>
        </w:rPr>
        <w:t>3、</w:t>
      </w:r>
      <w:r>
        <w:rPr>
          <w:rFonts w:hint="default" w:hAnsi="宋体" w:eastAsia="宋体" w:cs="宋体"/>
          <w:sz w:val="24"/>
          <w:highlight w:val="none"/>
          <w:lang w:val="en-US" w:eastAsia="zh-CN"/>
        </w:rPr>
        <w:t>维保质量验收签字:</w:t>
      </w:r>
    </w:p>
    <w:p w14:paraId="0B4DC4C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①对消防设施维保全过程都应如实记录，并对签字负责。</w:t>
      </w:r>
    </w:p>
    <w:p w14:paraId="5D0EFCC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②维保实施各项资料，都应由专职质检员签字生效。</w:t>
      </w:r>
    </w:p>
    <w:p w14:paraId="02D91A9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维保质量验收签字:</w:t>
      </w:r>
    </w:p>
    <w:p w14:paraId="4CB225F4">
      <w:pPr>
        <w:wordWrap w:val="0"/>
        <w:adjustRightInd w:val="0"/>
        <w:snapToGrid w:val="0"/>
        <w:spacing w:line="400" w:lineRule="exact"/>
        <w:ind w:firstLine="470" w:firstLineChars="196"/>
        <w:jc w:val="left"/>
        <w:rPr>
          <w:rFonts w:hint="default" w:hAnsi="宋体" w:eastAsia="宋体" w:cs="宋体"/>
          <w:b/>
          <w:bCs/>
          <w:sz w:val="24"/>
          <w:highlight w:val="none"/>
          <w:lang w:val="en-US" w:eastAsia="zh-CN"/>
        </w:rPr>
      </w:pPr>
      <w:r>
        <w:rPr>
          <w:rFonts w:hint="default" w:hAnsi="宋体" w:eastAsia="宋体" w:cs="宋体"/>
          <w:sz w:val="24"/>
          <w:highlight w:val="none"/>
          <w:lang w:val="en-US" w:eastAsia="zh-CN"/>
        </w:rPr>
        <w:t>凡属归档案的各类技术档案室资料，必须纸质优良，字迹清楚，字体工整，图形线条、符号清晰，图面整洁，签字手续完备，不可使用圆珠笔、钢笔书写。</w:t>
      </w:r>
    </w:p>
    <w:p w14:paraId="62539790">
      <w:pPr>
        <w:wordWrap w:val="0"/>
        <w:adjustRightInd w:val="0"/>
        <w:snapToGrid w:val="0"/>
        <w:spacing w:line="400" w:lineRule="exact"/>
        <w:ind w:firstLine="472" w:firstLineChars="196"/>
        <w:jc w:val="left"/>
        <w:rPr>
          <w:rFonts w:hint="default" w:hAnsi="宋体" w:eastAsia="宋体" w:cs="宋体"/>
          <w:b/>
          <w:bCs/>
          <w:sz w:val="24"/>
          <w:highlight w:val="none"/>
          <w:lang w:val="en-US" w:eastAsia="zh-CN"/>
        </w:rPr>
      </w:pPr>
      <w:r>
        <w:rPr>
          <w:rFonts w:hint="eastAsia" w:hAnsi="宋体" w:eastAsia="宋体" w:cs="宋体"/>
          <w:b/>
          <w:bCs/>
          <w:sz w:val="24"/>
          <w:highlight w:val="none"/>
          <w:lang w:val="en-US" w:eastAsia="zh-CN"/>
        </w:rPr>
        <w:t>（五）</w:t>
      </w:r>
      <w:r>
        <w:rPr>
          <w:rFonts w:hint="default" w:hAnsi="宋体" w:eastAsia="宋体" w:cs="宋体"/>
          <w:b/>
          <w:bCs/>
          <w:sz w:val="24"/>
          <w:highlight w:val="none"/>
          <w:lang w:val="en-US" w:eastAsia="zh-CN"/>
        </w:rPr>
        <w:t>安全技术要求</w:t>
      </w:r>
    </w:p>
    <w:p w14:paraId="69603A1D">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1、维护保养人员必须职责明确，并应严格按照规定程序工作。</w:t>
      </w:r>
    </w:p>
    <w:p w14:paraId="6443DFC6">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2、维护保养前必须报告维保区域地点、内容、时间。办理有关手续并通知有关部门。</w:t>
      </w:r>
    </w:p>
    <w:p w14:paraId="6AC4C4B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3、所有维护保养工作严格按照安全规定的要求进行，以保障人身和设备安全。</w:t>
      </w:r>
    </w:p>
    <w:p w14:paraId="49129799">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4、维护保养工作必须符合设备制造厂厂方文件中规定的安全技术条件。</w:t>
      </w:r>
    </w:p>
    <w:p w14:paraId="3502199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维护保养前做好必要的防事故措施。</w:t>
      </w:r>
    </w:p>
    <w:p w14:paraId="008812FA">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6、维护保养人员不得触动非消防设施。</w:t>
      </w:r>
    </w:p>
    <w:p w14:paraId="51C01A44">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本维保方案，作为本消防维保工程实施的指导性技术文件，全体维保人员必须严格遵照执行。同时，应根据维保过过程进展的实际情况，对有关内容适时进行调整，作为对本方案的补充，并及时呈报业主审核后实施。</w:t>
      </w:r>
    </w:p>
    <w:p w14:paraId="7E3F179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通过本方案的实施，将保证各院区的消防自动报警、消防水灭火系统、气体灭火系统、防火卷帘、防火门、应急照明及疏散系统等设施的使用维保管理，保证系统各种设施的正常运行，从而提高防御火灾的能力，并通过江安县消防主管部门的定期检查，并配合</w:t>
      </w:r>
      <w:r>
        <w:rPr>
          <w:rFonts w:hint="eastAsia" w:hAnsi="宋体" w:eastAsia="宋体" w:cs="宋体"/>
          <w:sz w:val="24"/>
          <w:highlight w:val="none"/>
          <w:lang w:val="en-US" w:eastAsia="zh-CN"/>
        </w:rPr>
        <w:t>采购人</w:t>
      </w:r>
      <w:r>
        <w:rPr>
          <w:rFonts w:hint="default" w:hAnsi="宋体" w:eastAsia="宋体" w:cs="宋体"/>
          <w:sz w:val="24"/>
          <w:highlight w:val="none"/>
          <w:lang w:val="en-US" w:eastAsia="zh-CN"/>
        </w:rPr>
        <w:t>接受上级检查。</w:t>
      </w:r>
    </w:p>
    <w:p w14:paraId="3C632C32">
      <w:pPr>
        <w:wordWrap w:val="0"/>
        <w:adjustRightInd w:val="0"/>
        <w:snapToGrid w:val="0"/>
        <w:spacing w:line="400" w:lineRule="exact"/>
        <w:ind w:firstLine="472" w:firstLineChars="196"/>
        <w:jc w:val="left"/>
        <w:rPr>
          <w:rFonts w:hint="default" w:hAnsi="宋体" w:eastAsia="宋体" w:cs="宋体"/>
          <w:b/>
          <w:bCs/>
          <w:sz w:val="24"/>
          <w:highlight w:val="none"/>
          <w:lang w:val="en-US" w:eastAsia="zh-CN"/>
        </w:rPr>
      </w:pPr>
      <w:r>
        <w:rPr>
          <w:rFonts w:hint="eastAsia" w:hAnsi="宋体" w:eastAsia="宋体" w:cs="宋体"/>
          <w:b/>
          <w:bCs/>
          <w:sz w:val="24"/>
          <w:highlight w:val="none"/>
          <w:lang w:val="en-US" w:eastAsia="zh-CN"/>
        </w:rPr>
        <w:t>（六）</w:t>
      </w:r>
      <w:r>
        <w:rPr>
          <w:rFonts w:hint="default" w:hAnsi="宋体" w:eastAsia="宋体" w:cs="宋体"/>
          <w:b/>
          <w:bCs/>
          <w:sz w:val="24"/>
          <w:highlight w:val="none"/>
          <w:lang w:val="en-US" w:eastAsia="zh-CN"/>
        </w:rPr>
        <w:t>服务承诺书</w:t>
      </w:r>
    </w:p>
    <w:p w14:paraId="03332F4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1、所有的维保工作将严格按照国家有消防规范执行，所有的维保和维修工作验收标准同样按规范标准和《规定》执行。所有与维保工作有关的检测试验仪器、机械、工器具均由我公司自带，所有与维保工作有关的辅助材料均由我公司提供。</w:t>
      </w:r>
    </w:p>
    <w:p w14:paraId="21FA19D5">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在维保过程中严格遵守业主各项规章制度和安全管理规范遵守业主对外包企业的要求并郑重承诺本单位从事维保的人员在贵单位的任何所作所为均由本公司承担相应的法律责任。维护人员凡任何违反安全操作规程所造成的事故。均由本公司承担责任。</w:t>
      </w:r>
    </w:p>
    <w:p w14:paraId="0E43A57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3、如果需对消防系统进行全面检修和测试，我公司承诺将在业主规定的时间内完成(指检测、测试、运行自检合格包括业主验收)。</w:t>
      </w:r>
    </w:p>
    <w:p w14:paraId="35FC2D4F">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4、维保内容严格按维保方案进行，不得有任何减少项目的行为。</w:t>
      </w:r>
    </w:p>
    <w:p w14:paraId="471A8A0B">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5、日常维护电话为24小时不间服务，维护工作人员接到电话在5小时内到达现场，并专设1名工程师进行跟踪服务。</w:t>
      </w:r>
    </w:p>
    <w:p w14:paraId="34D15EB1">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6、我公司有一套完整、有效的质保体系，同时在维护保养过程中公司派技术人员项目现场监督维护保养工作人员严格按照国家有关规范进行维保，有效在保证维保质量。</w:t>
      </w:r>
    </w:p>
    <w:p w14:paraId="5D4D7A0C">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7、在维护保养过程中搞好与甲方管理人员之间的配合协调，公司设1名项目负责人负责与业主有关人员的联络。</w:t>
      </w:r>
    </w:p>
    <w:p w14:paraId="3A3F6A10">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8、消防系统将按计划定期进行检查、维保。进行自检测，并出具检查报告。</w:t>
      </w:r>
    </w:p>
    <w:p w14:paraId="4D23EFB8">
      <w:pPr>
        <w:wordWrap w:val="0"/>
        <w:adjustRightInd w:val="0"/>
        <w:snapToGrid w:val="0"/>
        <w:spacing w:line="400" w:lineRule="exact"/>
        <w:ind w:firstLine="470" w:firstLineChars="196"/>
        <w:jc w:val="left"/>
        <w:rPr>
          <w:rFonts w:hint="default" w:hAnsi="宋体" w:eastAsia="宋体" w:cs="宋体"/>
          <w:sz w:val="24"/>
          <w:highlight w:val="none"/>
          <w:lang w:val="en-US" w:eastAsia="zh-CN"/>
        </w:rPr>
      </w:pPr>
      <w:r>
        <w:rPr>
          <w:rFonts w:hint="default" w:hAnsi="宋体" w:eastAsia="宋体" w:cs="宋体"/>
          <w:sz w:val="24"/>
          <w:highlight w:val="none"/>
          <w:lang w:val="en-US" w:eastAsia="zh-CN"/>
        </w:rPr>
        <w:t>9、定期系统检查，对系统进行抽查，并提供维保报告。</w:t>
      </w:r>
    </w:p>
    <w:p w14:paraId="135F106C">
      <w:pPr>
        <w:wordWrap w:val="0"/>
        <w:adjustRightInd w:val="0"/>
        <w:snapToGrid w:val="0"/>
        <w:spacing w:line="400" w:lineRule="exact"/>
        <w:ind w:firstLine="470" w:firstLineChars="196"/>
        <w:jc w:val="left"/>
        <w:rPr>
          <w:rFonts w:hint="default"/>
          <w:lang w:val="en-US" w:eastAsia="zh-CN"/>
        </w:rPr>
      </w:pPr>
      <w:r>
        <w:rPr>
          <w:rFonts w:hint="default" w:hAnsi="宋体" w:eastAsia="宋体" w:cs="宋体"/>
          <w:sz w:val="24"/>
          <w:highlight w:val="none"/>
          <w:lang w:val="en-US" w:eastAsia="zh-CN"/>
        </w:rPr>
        <w:t>10、如遇局部调整变化时，免费帮助业主进行系统调整修改，重大事件、重要节假日将根据业主的要求增加巡查次数。</w:t>
      </w:r>
      <w:r>
        <w:rPr>
          <w:rFonts w:hint="eastAsia" w:hAnsi="宋体" w:eastAsia="宋体" w:cs="宋体"/>
          <w:sz w:val="24"/>
          <w:highlight w:val="yellow"/>
          <w:lang w:val="en-US" w:eastAsia="zh-CN"/>
        </w:rPr>
        <w:t>成交供应商每年组织一次年检，需出具有法律效应的报告。</w:t>
      </w:r>
    </w:p>
    <w:p w14:paraId="61B4EBDB">
      <w:pPr>
        <w:pStyle w:val="2"/>
        <w:rPr>
          <w:rFonts w:hint="default" w:ascii="宋体" w:hAnsi="宋体" w:eastAsia="宋体" w:cs="宋体"/>
          <w:b/>
          <w:kern w:val="0"/>
          <w:sz w:val="24"/>
          <w:szCs w:val="24"/>
          <w:lang w:val="en-US" w:eastAsia="zh-CN"/>
        </w:rPr>
      </w:pPr>
    </w:p>
    <w:sectPr>
      <w:pgSz w:w="11906" w:h="16838"/>
      <w:pgMar w:top="873" w:right="1179" w:bottom="873"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xOGNmMjE3NDUzNWU4MjUwZjQ3ZjM1ZTRhNDczM2YifQ=="/>
  </w:docVars>
  <w:rsids>
    <w:rsidRoot w:val="2EAF5B3F"/>
    <w:rsid w:val="04370286"/>
    <w:rsid w:val="051D16FF"/>
    <w:rsid w:val="0AF8528D"/>
    <w:rsid w:val="0BDD6C30"/>
    <w:rsid w:val="0BF453CC"/>
    <w:rsid w:val="0E8A2A67"/>
    <w:rsid w:val="105F369A"/>
    <w:rsid w:val="10C6366C"/>
    <w:rsid w:val="11934B15"/>
    <w:rsid w:val="1C3D1E29"/>
    <w:rsid w:val="1DD841C1"/>
    <w:rsid w:val="259D3F4C"/>
    <w:rsid w:val="2D450ADE"/>
    <w:rsid w:val="2EAF5B3F"/>
    <w:rsid w:val="31C301C1"/>
    <w:rsid w:val="343957A4"/>
    <w:rsid w:val="37F068A8"/>
    <w:rsid w:val="39A457C2"/>
    <w:rsid w:val="3DA61762"/>
    <w:rsid w:val="466A516F"/>
    <w:rsid w:val="47385283"/>
    <w:rsid w:val="491B03FC"/>
    <w:rsid w:val="4BCC457E"/>
    <w:rsid w:val="535B4372"/>
    <w:rsid w:val="53892AEF"/>
    <w:rsid w:val="53A80006"/>
    <w:rsid w:val="566519F7"/>
    <w:rsid w:val="5C891617"/>
    <w:rsid w:val="5EB32317"/>
    <w:rsid w:val="608D7276"/>
    <w:rsid w:val="66BF7D34"/>
    <w:rsid w:val="674C7A2E"/>
    <w:rsid w:val="685B18F7"/>
    <w:rsid w:val="713F0D28"/>
    <w:rsid w:val="744C46E5"/>
    <w:rsid w:val="795C199D"/>
    <w:rsid w:val="7995051D"/>
    <w:rsid w:val="7B557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autoSpaceDE w:val="0"/>
      <w:autoSpaceDN w:val="0"/>
      <w:adjustRightInd w:val="0"/>
    </w:pPr>
    <w:rPr>
      <w:rFonts w:hAnsi="Tms Rmn"/>
      <w:sz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9947</Words>
  <Characters>10970</Characters>
  <Lines>0</Lines>
  <Paragraphs>0</Paragraphs>
  <TotalTime>4</TotalTime>
  <ScaleCrop>false</ScaleCrop>
  <LinksUpToDate>false</LinksUpToDate>
  <CharactersWithSpaces>11243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2023-02-27T02:40:00Z</dcterms:created>
  <dc:creator>DELL</dc:creator>
  <cp:lastModifiedBy>雯雯</cp:lastModifiedBy>
  <cp:lastPrinted>2023-03-13T02:41:00Z</cp:lastPrinted>
  <dcterms:modified xsi:type="dcterms:W3CDTF">2024-10-08T09:22:24Z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0AB2B638A62A40D4969FC5CB2088444E_13</vt:lpwstr>
  </property>
</Properties>
</file>