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adjustRightInd/>
        <w:spacing w:before="95" w:beforeLines="30" w:line="578" w:lineRule="exact"/>
        <w:ind w:left="0" w:leftChars="0" w:right="0"/>
        <w:rPr>
          <w:sz w:val="32"/>
          <w:szCs w:val="32"/>
        </w:rPr>
      </w:pPr>
      <w:bookmarkStart w:id="0" w:name="_Toc17083"/>
      <w:bookmarkStart w:id="1" w:name="_Toc9127"/>
      <w:r>
        <w:rPr>
          <w:sz w:val="32"/>
          <w:szCs w:val="32"/>
        </w:rPr>
        <w:t>附件：</w:t>
      </w:r>
    </w:p>
    <w:p>
      <w:pPr>
        <w:pageBreakBefore w:val="0"/>
        <w:kinsoku/>
        <w:wordWrap/>
        <w:overflowPunct/>
        <w:topLinePunct w:val="0"/>
        <w:bidi w:val="0"/>
        <w:adjustRightInd/>
        <w:spacing w:before="95" w:beforeLines="30" w:line="578" w:lineRule="exact"/>
        <w:ind w:left="0" w:leftChars="0" w:right="0"/>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jc w:val="center"/>
        <w:rPr>
          <w:rFonts w:hint="eastAsia"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pPr>
        <w:keepNext w:val="0"/>
        <w:keepLines w:val="0"/>
        <w:pageBreakBefore w:val="0"/>
        <w:widowControl w:val="0"/>
        <w:kinsoku/>
        <w:wordWrap/>
        <w:overflowPunct/>
        <w:topLinePunct w:val="0"/>
        <w:autoSpaceDE/>
        <w:autoSpaceDN/>
        <w:bidi w:val="0"/>
        <w:adjustRightInd/>
        <w:snapToGrid/>
        <w:spacing w:before="95" w:beforeLines="30" w:line="360" w:lineRule="auto"/>
        <w:ind w:left="0" w:leftChars="0" w:right="0"/>
        <w:jc w:val="center"/>
        <w:textAlignment w:val="auto"/>
        <w:rPr>
          <w:rFonts w:hint="eastAsia" w:ascii="方正小标宋简体" w:hAnsi="方正小标宋简体" w:eastAsia="方正小标宋简体" w:cs="方正小标宋简体"/>
          <w:b/>
          <w:bCs/>
          <w:color w:val="000000" w:themeColor="text1"/>
          <w:sz w:val="52"/>
          <w:szCs w:val="5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谈</w:t>
      </w:r>
    </w:p>
    <w:p>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判</w:t>
      </w:r>
    </w:p>
    <w:p>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bookmarkStart w:id="2" w:name="_Toc9068"/>
      <w:bookmarkStart w:id="3" w:name="_Toc17363"/>
      <w:r>
        <w:rPr>
          <w:rFonts w:hint="eastAsia" w:ascii="方正小标宋简体" w:hAnsi="方正小标宋简体" w:eastAsia="方正小标宋简体" w:cs="方正小标宋简体"/>
          <w:sz w:val="84"/>
          <w:szCs w:val="84"/>
        </w:rPr>
        <w:t>文</w:t>
      </w:r>
      <w:bookmarkEnd w:id="2"/>
      <w:bookmarkEnd w:id="3"/>
    </w:p>
    <w:p>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bookmarkStart w:id="4" w:name="_Toc21464"/>
      <w:bookmarkStart w:id="5" w:name="_Toc7661"/>
      <w:r>
        <w:rPr>
          <w:rFonts w:hint="eastAsia" w:ascii="方正小标宋简体" w:hAnsi="方正小标宋简体" w:eastAsia="方正小标宋简体" w:cs="方正小标宋简体"/>
          <w:sz w:val="84"/>
          <w:szCs w:val="84"/>
        </w:rPr>
        <w:t>件</w:t>
      </w:r>
      <w:bookmarkEnd w:id="4"/>
      <w:bookmarkEnd w:id="5"/>
    </w:p>
    <w:p>
      <w:pPr>
        <w:keepNext w:val="0"/>
        <w:keepLines w:val="0"/>
        <w:pageBreakBefore w:val="0"/>
        <w:widowControl w:val="0"/>
        <w:kinsoku/>
        <w:wordWrap/>
        <w:overflowPunct/>
        <w:topLinePunct w:val="0"/>
        <w:autoSpaceDE/>
        <w:autoSpaceDN/>
        <w:bidi w:val="0"/>
        <w:adjustRightInd/>
        <w:snapToGrid/>
        <w:spacing w:before="95" w:beforeLines="30" w:line="360" w:lineRule="auto"/>
        <w:ind w:left="0" w:leftChars="0" w:right="0"/>
        <w:textAlignment w:val="auto"/>
        <w:rPr>
          <w:rFonts w:ascii="Times New Roman" w:hAnsi="Times New Roman"/>
          <w:color w:val="000000" w:themeColor="text1"/>
          <w:sz w:val="30"/>
          <w:szCs w:val="30"/>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sz w:val="36"/>
          <w:szCs w:val="36"/>
        </w:rPr>
        <w:t>新院区连廊地坪、防护定制项目</w:t>
      </w:r>
    </w:p>
    <w:p>
      <w:pPr>
        <w:pageBreakBefore w:val="0"/>
        <w:kinsoku/>
        <w:wordWrap/>
        <w:overflowPunct/>
        <w:topLinePunct w:val="0"/>
        <w:bidi w:val="0"/>
        <w:adjustRightInd/>
        <w:spacing w:before="95" w:beforeLines="30" w:line="578" w:lineRule="exact"/>
        <w:ind w:left="0" w:leftChars="0" w:right="0"/>
        <w:jc w:val="left"/>
        <w:rPr>
          <w:rFonts w:hint="eastAsia" w:ascii="方正小标宋简体" w:hAnsi="方正小标宋简体" w:eastAsia="方正小标宋简体" w:cs="方正小标宋简体"/>
          <w:sz w:val="36"/>
          <w:szCs w:val="36"/>
        </w:rPr>
      </w:pPr>
      <w:bookmarkStart w:id="6" w:name="_Toc7669"/>
      <w:bookmarkStart w:id="7" w:name="_Toc66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w:t>
      </w:r>
      <w:r>
        <w:rPr>
          <w:rFonts w:hint="eastAsia" w:ascii="方正小标宋简体" w:hAnsi="方正小标宋简体" w:eastAsia="方正小标宋简体" w:cs="方正小标宋简体"/>
          <w:sz w:val="36"/>
          <w:szCs w:val="36"/>
        </w:rPr>
        <w:t>万医采〔2024〕</w:t>
      </w:r>
      <w:bookmarkEnd w:id="6"/>
      <w:bookmarkEnd w:id="7"/>
      <w:r>
        <w:rPr>
          <w:rFonts w:hint="eastAsia" w:ascii="方正小标宋简体" w:hAnsi="方正小标宋简体" w:eastAsia="方正小标宋简体" w:cs="方正小标宋简体"/>
          <w:sz w:val="36"/>
          <w:szCs w:val="36"/>
          <w:lang w:val="en-US" w:eastAsia="zh-CN"/>
        </w:rPr>
        <w:t>10-2</w:t>
      </w:r>
      <w:r>
        <w:rPr>
          <w:rFonts w:hint="eastAsia" w:ascii="方正小标宋简体" w:hAnsi="方正小标宋简体" w:eastAsia="方正小标宋简体" w:cs="方正小标宋简体"/>
          <w:sz w:val="36"/>
          <w:szCs w:val="36"/>
        </w:rPr>
        <w:t>号</w:t>
      </w:r>
    </w:p>
    <w:p>
      <w:pPr>
        <w:pStyle w:val="2"/>
        <w:rPr>
          <w:rFonts w:hint="eastAsia" w:ascii="方正小标宋简体" w:hAnsi="方正小标宋简体" w:eastAsia="方正小标宋简体" w:cs="方正小标宋简体"/>
          <w:sz w:val="36"/>
          <w:szCs w:val="36"/>
        </w:rPr>
      </w:pPr>
    </w:p>
    <w:p/>
    <w:p>
      <w:pPr>
        <w:pageBreakBefore w:val="0"/>
        <w:kinsoku/>
        <w:wordWrap/>
        <w:overflowPunct/>
        <w:topLinePunct w:val="0"/>
        <w:bidi w:val="0"/>
        <w:adjustRightInd/>
        <w:spacing w:before="95" w:beforeLines="30" w:line="578" w:lineRule="exact"/>
        <w:ind w:left="0" w:leftChars="0" w:right="0"/>
        <w:jc w:val="center"/>
        <w:rPr>
          <w:rFonts w:ascii="方正小标宋简体" w:hAnsi="方正小标宋简体" w:eastAsia="方正小标宋简体" w:cs="方正小标宋简体"/>
          <w:bCs/>
          <w:sz w:val="36"/>
          <w:szCs w:val="36"/>
        </w:rPr>
      </w:pPr>
      <w:bookmarkStart w:id="8" w:name="_Toc2442"/>
      <w:bookmarkStart w:id="9" w:name="_Toc26288"/>
      <w:r>
        <w:rPr>
          <w:rFonts w:hint="eastAsia" w:ascii="方正小标宋简体" w:hAnsi="方正小标宋简体" w:eastAsia="方正小标宋简体" w:cs="方正小标宋简体"/>
          <w:bCs/>
          <w:sz w:val="36"/>
          <w:szCs w:val="36"/>
        </w:rPr>
        <w:t>万源市中心医院</w:t>
      </w:r>
      <w:r>
        <w:rPr>
          <w:rFonts w:hint="eastAsia" w:ascii="方正小标宋简体" w:hAnsi="方正小标宋简体" w:eastAsia="方正小标宋简体" w:cs="方正小标宋简体"/>
          <w:bCs/>
          <w:sz w:val="36"/>
          <w:szCs w:val="36"/>
          <w:lang w:val="en-US" w:eastAsia="zh-CN"/>
        </w:rPr>
        <w:t xml:space="preserve">  </w:t>
      </w:r>
      <w:r>
        <w:rPr>
          <w:rFonts w:hint="eastAsia" w:ascii="方正小标宋简体" w:hAnsi="方正小标宋简体" w:eastAsia="方正小标宋简体" w:cs="方正小标宋简体"/>
          <w:bCs/>
          <w:sz w:val="36"/>
          <w:szCs w:val="36"/>
        </w:rPr>
        <w:t>编制</w:t>
      </w:r>
      <w:bookmarkEnd w:id="8"/>
      <w:bookmarkEnd w:id="9"/>
    </w:p>
    <w:p>
      <w:pPr>
        <w:pageBreakBefore w:val="0"/>
        <w:kinsoku/>
        <w:wordWrap/>
        <w:overflowPunct/>
        <w:topLinePunct w:val="0"/>
        <w:bidi w:val="0"/>
        <w:adjustRightInd/>
        <w:spacing w:before="95" w:beforeLines="30" w:line="578" w:lineRule="exact"/>
        <w:ind w:left="0" w:leftChars="0" w:right="0"/>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年7月</w:t>
      </w:r>
    </w:p>
    <w:p>
      <w:pPr>
        <w:pageBreakBefore w:val="0"/>
        <w:kinsoku/>
        <w:wordWrap/>
        <w:overflowPunct/>
        <w:topLinePunct w:val="0"/>
        <w:bidi w:val="0"/>
        <w:adjustRightInd/>
        <w:spacing w:before="95" w:beforeLines="30" w:line="578" w:lineRule="exact"/>
        <w:ind w:left="0" w:leftChars="0" w:right="0"/>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p>
      <w:pPr>
        <w:pStyle w:val="19"/>
        <w:pageBreakBefore w:val="0"/>
        <w:numPr>
          <w:ilvl w:val="0"/>
          <w:numId w:val="0"/>
        </w:numPr>
        <w:kinsoku/>
        <w:wordWrap/>
        <w:overflowPunct/>
        <w:topLinePunct w:val="0"/>
        <w:bidi w:val="0"/>
        <w:adjustRightInd/>
        <w:spacing w:before="95" w:beforeLines="30" w:after="0" w:line="578" w:lineRule="exact"/>
        <w:ind w:right="0" w:rightChars="0"/>
        <w:jc w:val="center"/>
        <w:rPr>
          <w:rFonts w:hint="eastAsia"/>
        </w:rPr>
      </w:pPr>
    </w:p>
    <w:p>
      <w:pPr>
        <w:pStyle w:val="19"/>
        <w:pageBreakBefore w:val="0"/>
        <w:numPr>
          <w:ilvl w:val="0"/>
          <w:numId w:val="0"/>
        </w:numPr>
        <w:kinsoku/>
        <w:wordWrap/>
        <w:overflowPunct/>
        <w:topLinePunct w:val="0"/>
        <w:bidi w:val="0"/>
        <w:adjustRightInd/>
        <w:spacing w:before="95" w:beforeLines="30" w:after="0" w:line="578" w:lineRule="exact"/>
        <w:ind w:right="0" w:rightChars="0"/>
        <w:jc w:val="center"/>
        <w:rPr>
          <w:rFonts w:hint="eastAsia"/>
        </w:rPr>
      </w:pPr>
    </w:p>
    <w:sdt>
      <w:sdtPr>
        <w:rPr>
          <w:rFonts w:hint="eastAsia"/>
        </w:rPr>
        <w:id w:val="147453726"/>
        <w:docPartObj>
          <w:docPartGallery w:val="Table of Contents"/>
          <w:docPartUnique/>
        </w:docPartObj>
      </w:sdtPr>
      <w:sdtEndPr>
        <w:rPr>
          <w:rFonts w:hint="eastAsia" w:ascii="仿宋" w:hAnsi="仿宋" w:eastAsia="仿宋" w:cs="仿宋"/>
          <w:b/>
          <w:bCs/>
          <w:color w:val="000000" w:themeColor="text1"/>
          <w:sz w:val="32"/>
          <w:szCs w:val="32"/>
          <w14:textFill>
            <w14:solidFill>
              <w14:schemeClr w14:val="tx1"/>
            </w14:solidFill>
          </w14:textFill>
        </w:rPr>
      </w:sdtEndPr>
      <w:sdtContent>
        <w:p>
          <w:pPr>
            <w:pStyle w:val="19"/>
            <w:pageBreakBefore w:val="0"/>
            <w:numPr>
              <w:ilvl w:val="0"/>
              <w:numId w:val="0"/>
            </w:numPr>
            <w:kinsoku/>
            <w:wordWrap/>
            <w:overflowPunct/>
            <w:topLinePunct w:val="0"/>
            <w:bidi w:val="0"/>
            <w:adjustRightInd/>
            <w:spacing w:before="95" w:beforeLines="30" w:after="0" w:line="578" w:lineRule="exact"/>
            <w:ind w:right="0" w:rightChars="0"/>
            <w:jc w:val="center"/>
            <w:rPr>
              <w:rFonts w:hint="eastAsia"/>
            </w:rPr>
          </w:pPr>
          <w:r>
            <w:rPr>
              <w:rFonts w:hint="eastAsia"/>
            </w:rPr>
            <w:t>目</w:t>
          </w:r>
          <w:r>
            <w:rPr>
              <w:rFonts w:hint="eastAsia"/>
              <w:lang w:val="en-US" w:eastAsia="zh-CN"/>
            </w:rPr>
            <w:t xml:space="preserve">  </w:t>
          </w:r>
          <w:r>
            <w:rPr>
              <w:rFonts w:hint="eastAsia"/>
            </w:rPr>
            <w:t>录</w:t>
          </w:r>
        </w:p>
        <w:p>
          <w:pPr>
            <w:pStyle w:val="2"/>
            <w:pageBreakBefore w:val="0"/>
            <w:kinsoku/>
            <w:wordWrap/>
            <w:overflowPunct/>
            <w:topLinePunct w:val="0"/>
            <w:bidi w:val="0"/>
            <w:adjustRightInd/>
            <w:spacing w:before="95" w:beforeLines="30" w:after="0" w:line="578" w:lineRule="exact"/>
            <w:ind w:left="0" w:leftChars="0" w:right="0"/>
            <w:rPr>
              <w:rFonts w:hint="eastAsia" w:ascii="仿宋" w:hAnsi="仿宋" w:eastAsia="仿宋" w:cs="仿宋"/>
              <w:sz w:val="32"/>
              <w:szCs w:val="32"/>
            </w:rPr>
          </w:pPr>
        </w:p>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p>
          <w:pPr>
            <w:pStyle w:val="16"/>
            <w:tabs>
              <w:tab w:val="right" w:leader="dot" w:pos="8886"/>
            </w:tabs>
            <w:rPr>
              <w:rFonts w:hint="eastAsia" w:ascii="仿宋" w:hAnsi="仿宋" w:eastAsia="仿宋" w:cs="仿宋"/>
              <w:sz w:val="32"/>
              <w:szCs w:val="32"/>
            </w:rPr>
          </w:pPr>
          <w:r>
            <w:rPr>
              <w:rFonts w:hint="eastAsia" w:ascii="仿宋" w:hAnsi="仿宋" w:eastAsia="仿宋" w:cs="仿宋"/>
              <w:b/>
              <w:bCs/>
              <w:color w:val="000000" w:themeColor="text1"/>
              <w:sz w:val="32"/>
              <w:szCs w:val="32"/>
              <w14:textFill>
                <w14:solidFill>
                  <w14:schemeClr w14:val="tx1"/>
                </w14:solidFill>
              </w14:textFill>
            </w:rPr>
            <w:fldChar w:fldCharType="begin"/>
          </w:r>
          <w:r>
            <w:rPr>
              <w:rFonts w:hint="eastAsia" w:ascii="仿宋" w:hAnsi="仿宋" w:eastAsia="仿宋" w:cs="仿宋"/>
              <w:b/>
              <w:bCs/>
              <w:color w:val="000000" w:themeColor="text1"/>
              <w:sz w:val="32"/>
              <w:szCs w:val="32"/>
              <w14:textFill>
                <w14:solidFill>
                  <w14:schemeClr w14:val="tx1"/>
                </w14:solidFill>
              </w14:textFill>
            </w:rPr>
            <w:instrText xml:space="preserve">TOC \o "1-3" \h \u </w:instrText>
          </w:r>
          <w:r>
            <w:rPr>
              <w:rFonts w:hint="eastAsia" w:ascii="仿宋" w:hAnsi="仿宋" w:eastAsia="仿宋" w:cs="仿宋"/>
              <w:b/>
              <w:bCs/>
              <w:color w:val="000000" w:themeColor="text1"/>
              <w:sz w:val="32"/>
              <w:szCs w:val="32"/>
              <w14:textFill>
                <w14:solidFill>
                  <w14:schemeClr w14:val="tx1"/>
                </w14:solidFill>
              </w14:textFill>
            </w:rPr>
            <w:fldChar w:fldCharType="separate"/>
          </w: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_Toc25587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第一章 谈判邀请书</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_Toc25587 \h </w:instrText>
          </w:r>
          <w:r>
            <w:rPr>
              <w:rFonts w:hint="eastAsia" w:ascii="仿宋" w:hAnsi="仿宋" w:eastAsia="仿宋" w:cs="仿宋"/>
              <w:sz w:val="32"/>
              <w:szCs w:val="32"/>
            </w:rPr>
            <w:fldChar w:fldCharType="separate"/>
          </w:r>
          <w:r>
            <w:rPr>
              <w:rFonts w:hint="eastAsia" w:ascii="仿宋" w:hAnsi="仿宋" w:eastAsia="仿宋" w:cs="仿宋"/>
              <w:sz w:val="32"/>
              <w:szCs w:val="32"/>
            </w:rPr>
            <w:t>- 1 -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pPr>
            <w:pStyle w:val="16"/>
            <w:tabs>
              <w:tab w:val="right" w:leader="dot" w:pos="8886"/>
            </w:tabs>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_Toc9723 </w:instrText>
          </w:r>
          <w:r>
            <w:rPr>
              <w:rFonts w:hint="eastAsia" w:ascii="仿宋" w:hAnsi="仿宋" w:eastAsia="仿宋" w:cs="仿宋"/>
              <w:bCs/>
              <w:sz w:val="32"/>
              <w:szCs w:val="32"/>
            </w:rPr>
            <w:fldChar w:fldCharType="separate"/>
          </w:r>
          <w:r>
            <w:rPr>
              <w:rFonts w:hint="eastAsia" w:ascii="仿宋" w:hAnsi="仿宋" w:eastAsia="仿宋" w:cs="仿宋"/>
              <w:sz w:val="32"/>
              <w:szCs w:val="32"/>
            </w:rPr>
            <w:t xml:space="preserve">第二章 </w:t>
          </w:r>
          <w:r>
            <w:rPr>
              <w:rFonts w:hint="eastAsia" w:ascii="仿宋" w:hAnsi="仿宋" w:eastAsia="仿宋" w:cs="仿宋"/>
              <w:sz w:val="32"/>
              <w:szCs w:val="32"/>
              <w:lang w:eastAsia="zh-CN"/>
            </w:rPr>
            <w:t>供应商</w:t>
          </w:r>
          <w:r>
            <w:rPr>
              <w:rFonts w:hint="eastAsia" w:ascii="仿宋" w:hAnsi="仿宋" w:eastAsia="仿宋" w:cs="仿宋"/>
              <w:sz w:val="32"/>
              <w:szCs w:val="32"/>
            </w:rPr>
            <w:t>须知</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_Toc9723 \h </w:instrText>
          </w:r>
          <w:r>
            <w:rPr>
              <w:rFonts w:hint="eastAsia" w:ascii="仿宋" w:hAnsi="仿宋" w:eastAsia="仿宋" w:cs="仿宋"/>
              <w:sz w:val="32"/>
              <w:szCs w:val="32"/>
            </w:rPr>
            <w:fldChar w:fldCharType="separate"/>
          </w:r>
          <w:r>
            <w:rPr>
              <w:rFonts w:hint="eastAsia" w:ascii="仿宋" w:hAnsi="仿宋" w:eastAsia="仿宋" w:cs="仿宋"/>
              <w:sz w:val="32"/>
              <w:szCs w:val="32"/>
            </w:rPr>
            <w:t>- 5 -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pPr>
            <w:pStyle w:val="16"/>
            <w:tabs>
              <w:tab w:val="right" w:leader="dot" w:pos="8886"/>
            </w:tabs>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_Toc8526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第三章 评审办法</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_Toc8526 \h </w:instrText>
          </w:r>
          <w:r>
            <w:rPr>
              <w:rFonts w:hint="eastAsia" w:ascii="仿宋" w:hAnsi="仿宋" w:eastAsia="仿宋" w:cs="仿宋"/>
              <w:sz w:val="32"/>
              <w:szCs w:val="32"/>
            </w:rPr>
            <w:fldChar w:fldCharType="separate"/>
          </w:r>
          <w:r>
            <w:rPr>
              <w:rFonts w:hint="eastAsia" w:ascii="仿宋" w:hAnsi="仿宋" w:eastAsia="仿宋" w:cs="仿宋"/>
              <w:sz w:val="32"/>
              <w:szCs w:val="32"/>
            </w:rPr>
            <w:t>- 10 -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pPr>
            <w:pStyle w:val="16"/>
            <w:tabs>
              <w:tab w:val="right" w:leader="dot" w:pos="8886"/>
            </w:tabs>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_Toc28294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第四章 采购项目需求</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_Toc28294 \h </w:instrText>
          </w:r>
          <w:r>
            <w:rPr>
              <w:rFonts w:hint="eastAsia" w:ascii="仿宋" w:hAnsi="仿宋" w:eastAsia="仿宋" w:cs="仿宋"/>
              <w:sz w:val="32"/>
              <w:szCs w:val="32"/>
            </w:rPr>
            <w:fldChar w:fldCharType="separate"/>
          </w:r>
          <w:r>
            <w:rPr>
              <w:rFonts w:hint="eastAsia" w:ascii="仿宋" w:hAnsi="仿宋" w:eastAsia="仿宋" w:cs="仿宋"/>
              <w:sz w:val="32"/>
              <w:szCs w:val="32"/>
            </w:rPr>
            <w:t>- 22 -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pPr>
            <w:pStyle w:val="16"/>
            <w:tabs>
              <w:tab w:val="right" w:leader="dot" w:pos="8886"/>
            </w:tabs>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_Toc32503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第五章 谈判响应文件格式</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_Toc32503 \h </w:instrText>
          </w:r>
          <w:r>
            <w:rPr>
              <w:rFonts w:hint="eastAsia" w:ascii="仿宋" w:hAnsi="仿宋" w:eastAsia="仿宋" w:cs="仿宋"/>
              <w:sz w:val="32"/>
              <w:szCs w:val="32"/>
            </w:rPr>
            <w:fldChar w:fldCharType="separate"/>
          </w:r>
          <w:r>
            <w:rPr>
              <w:rFonts w:hint="eastAsia" w:ascii="仿宋" w:hAnsi="仿宋" w:eastAsia="仿宋" w:cs="仿宋"/>
              <w:sz w:val="32"/>
              <w:szCs w:val="32"/>
            </w:rPr>
            <w:t>- 24 -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sdtContent>
    </w:sdt>
    <w:p>
      <w:pPr>
        <w:pageBreakBefore w:val="0"/>
        <w:kinsoku/>
        <w:wordWrap/>
        <w:overflowPunct/>
        <w:topLinePunct w:val="0"/>
        <w:bidi w:val="0"/>
        <w:adjustRightInd/>
        <w:spacing w:before="95" w:beforeLines="30" w:line="578" w:lineRule="exact"/>
        <w:ind w:left="0" w:leftChars="0" w:right="0"/>
        <w:rPr>
          <w:rFonts w:ascii="Times New Roman" w:hAnsi="Times New Roman"/>
          <w:color w:val="000000" w:themeColor="text1"/>
          <w14:textFill>
            <w14:solidFill>
              <w14:schemeClr w14:val="tx1"/>
            </w14:solidFill>
          </w14:textFill>
        </w:rPr>
      </w:pPr>
    </w:p>
    <w:p>
      <w:pPr>
        <w:pStyle w:val="19"/>
        <w:pageBreakBefore w:val="0"/>
        <w:kinsoku/>
        <w:wordWrap/>
        <w:overflowPunct/>
        <w:topLinePunct w:val="0"/>
        <w:bidi w:val="0"/>
        <w:adjustRightInd/>
        <w:spacing w:before="95" w:beforeLines="30" w:after="0" w:line="578" w:lineRule="exact"/>
        <w:ind w:left="0" w:leftChars="0" w:right="0"/>
        <w:sectPr>
          <w:footerReference r:id="rId3" w:type="default"/>
          <w:pgSz w:w="11906" w:h="16838"/>
          <w:pgMar w:top="1270" w:right="1274" w:bottom="1276" w:left="1746" w:header="851" w:footer="822" w:gutter="0"/>
          <w:pgNumType w:fmt="numberInDash" w:start="1"/>
          <w:cols w:space="0" w:num="1"/>
          <w:docGrid w:type="lines" w:linePitch="312" w:charSpace="0"/>
        </w:sectPr>
      </w:pPr>
    </w:p>
    <w:p>
      <w:pPr>
        <w:pStyle w:val="19"/>
        <w:pageBreakBefore w:val="0"/>
        <w:numPr>
          <w:ilvl w:val="0"/>
          <w:numId w:val="1"/>
        </w:numPr>
        <w:kinsoku/>
        <w:wordWrap/>
        <w:overflowPunct/>
        <w:topLinePunct w:val="0"/>
        <w:bidi w:val="0"/>
        <w:adjustRightInd/>
        <w:spacing w:before="95" w:beforeLines="30" w:after="0" w:line="578" w:lineRule="exact"/>
        <w:ind w:left="0" w:leftChars="0" w:right="0"/>
        <w:rPr>
          <w:rFonts w:hint="eastAsia"/>
        </w:rPr>
      </w:pPr>
      <w:bookmarkStart w:id="10" w:name="_Toc25587"/>
      <w:r>
        <w:rPr>
          <w:rFonts w:hint="eastAsia"/>
        </w:rPr>
        <w:t>谈判邀请书</w:t>
      </w:r>
      <w:bookmarkEnd w:id="10"/>
    </w:p>
    <w:p>
      <w:pPr>
        <w:pageBreakBefore w:val="0"/>
        <w:kinsoku/>
        <w:wordWrap/>
        <w:overflowPunct/>
        <w:topLinePunct w:val="0"/>
        <w:bidi w:val="0"/>
        <w:adjustRightInd/>
        <w:spacing w:before="95" w:beforeLines="30" w:line="578" w:lineRule="exact"/>
        <w:ind w:left="0" w:leftChars="0" w:right="0" w:firstLine="420" w:firstLineChars="200"/>
        <w:rPr>
          <w:rFonts w:hint="eastAsia"/>
        </w:rPr>
      </w:pP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万源市中心医院根据工作需要，拟通过谈判的方式对新院区连廊地坪、防护定制项目进行院内公开谈判，现公开邀请符合本次谈判要求的供应商参加，特将有关事宜告知如下：</w:t>
      </w:r>
    </w:p>
    <w:p>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一、项目概况</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（一）采购人：万源市中心医院</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（二）项目编号：万医采〔2024〕</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10-2</w:t>
      </w:r>
      <w:r>
        <w:rPr>
          <w:rFonts w:hint="default" w:ascii="Times New Roman" w:hAnsi="Times New Roman" w:eastAsia="仿宋" w:cs="Times New Roman"/>
          <w:color w:val="000000" w:themeColor="text1"/>
          <w:sz w:val="32"/>
          <w:szCs w:val="32"/>
          <w14:textFill>
            <w14:solidFill>
              <w14:schemeClr w14:val="tx1"/>
            </w14:solidFill>
          </w14:textFill>
        </w:rPr>
        <w:t>号</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（三）项目名称：新院区连廊地坪、防护定制项目</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（四）采购方式：院内谈判</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（五）最高限价：1</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59809.8</w:t>
      </w:r>
      <w:r>
        <w:rPr>
          <w:rFonts w:hint="default" w:ascii="Times New Roman" w:hAnsi="Times New Roman" w:eastAsia="仿宋" w:cs="Times New Roman"/>
          <w:color w:val="000000" w:themeColor="text1"/>
          <w:sz w:val="32"/>
          <w:szCs w:val="32"/>
          <w14:textFill>
            <w14:solidFill>
              <w14:schemeClr w14:val="tx1"/>
            </w14:solidFill>
          </w14:textFill>
        </w:rPr>
        <w:t>元</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（六）采购内容：</w:t>
      </w:r>
    </w:p>
    <w:tbl>
      <w:tblPr>
        <w:tblStyle w:val="21"/>
        <w:tblW w:w="8040" w:type="dxa"/>
        <w:tblInd w:w="124" w:type="dxa"/>
        <w:tblLayout w:type="fixed"/>
        <w:tblCellMar>
          <w:top w:w="0" w:type="dxa"/>
          <w:left w:w="108" w:type="dxa"/>
          <w:bottom w:w="0" w:type="dxa"/>
          <w:right w:w="108" w:type="dxa"/>
        </w:tblCellMar>
      </w:tblPr>
      <w:tblGrid>
        <w:gridCol w:w="1395"/>
        <w:gridCol w:w="735"/>
        <w:gridCol w:w="780"/>
        <w:gridCol w:w="795"/>
        <w:gridCol w:w="855"/>
        <w:gridCol w:w="1155"/>
        <w:gridCol w:w="960"/>
        <w:gridCol w:w="1365"/>
      </w:tblGrid>
      <w:tr>
        <w:tblPrEx>
          <w:tblCellMar>
            <w:top w:w="0" w:type="dxa"/>
            <w:left w:w="108" w:type="dxa"/>
            <w:bottom w:w="0" w:type="dxa"/>
            <w:right w:w="108" w:type="dxa"/>
          </w:tblCellMar>
        </w:tblPrEx>
        <w:trPr>
          <w:trHeight w:val="580"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名称</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长(m)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宽(m)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高(m)</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both"/>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数量</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面积</w:t>
            </w:r>
          </w:p>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lang w:val="en-US" w:eastAsia="zh-CN"/>
              </w:rPr>
            </w:pPr>
            <w:r>
              <w:rPr>
                <w:rFonts w:hint="default" w:ascii="Times New Roman" w:hAnsi="Times New Roman" w:eastAsia="仿宋" w:cs="Times New Roman"/>
                <w:color w:val="000000"/>
                <w:kern w:val="0"/>
                <w:sz w:val="28"/>
                <w:szCs w:val="28"/>
              </w:rPr>
              <w:t>单价</w:t>
            </w:r>
            <w:r>
              <w:rPr>
                <w:rFonts w:hint="eastAsia" w:ascii="Times New Roman" w:hAnsi="Times New Roman" w:eastAsia="仿宋" w:cs="Times New Roman"/>
                <w:color w:val="000000"/>
                <w:kern w:val="0"/>
                <w:sz w:val="28"/>
                <w:szCs w:val="28"/>
                <w:lang w:val="en-US" w:eastAsia="zh-CN"/>
              </w:rPr>
              <w:t>(元)</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金额</w:t>
            </w:r>
          </w:p>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lang w:val="en-US" w:eastAsia="zh-CN"/>
              </w:rPr>
              <w:t>(元)</w:t>
            </w:r>
          </w:p>
        </w:tc>
      </w:tr>
      <w:tr>
        <w:tblPrEx>
          <w:tblCellMar>
            <w:top w:w="0" w:type="dxa"/>
            <w:left w:w="108" w:type="dxa"/>
            <w:bottom w:w="0" w:type="dxa"/>
            <w:right w:w="108" w:type="dxa"/>
          </w:tblCellMar>
        </w:tblPrEx>
        <w:trPr>
          <w:trHeight w:val="762" w:hRule="atLeast"/>
        </w:trPr>
        <w:tc>
          <w:tcPr>
            <w:tcW w:w="139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地板地坪定制</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7.9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1927.6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48.00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92524.80 </w:t>
            </w:r>
          </w:p>
        </w:tc>
      </w:tr>
      <w:tr>
        <w:tblPrEx>
          <w:tblCellMar>
            <w:top w:w="0" w:type="dxa"/>
            <w:left w:w="108" w:type="dxa"/>
            <w:bottom w:w="0" w:type="dxa"/>
            <w:right w:w="108" w:type="dxa"/>
          </w:tblCellMar>
        </w:tblPrEx>
        <w:trPr>
          <w:trHeight w:val="462" w:hRule="atLeast"/>
        </w:trPr>
        <w:tc>
          <w:tcPr>
            <w:tcW w:w="139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eastAsia"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eastAsia"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720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48.00</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34560.00</w:t>
            </w:r>
          </w:p>
        </w:tc>
      </w:tr>
      <w:tr>
        <w:tblPrEx>
          <w:tblCellMar>
            <w:top w:w="0" w:type="dxa"/>
            <w:left w:w="108" w:type="dxa"/>
            <w:bottom w:w="0" w:type="dxa"/>
            <w:right w:w="108" w:type="dxa"/>
          </w:tblCellMar>
        </w:tblPrEx>
        <w:trPr>
          <w:trHeight w:val="557"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过道防护栏制作、安装</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38.5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1.25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385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85.00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32725.00 </w:t>
            </w:r>
          </w:p>
        </w:tc>
      </w:tr>
    </w:tbl>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二、谈判响应人资格要求：</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（一）在中华人民共和国境内注册，具有独立承担民事责任能力的机构</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（二）具有良好的商业信誉和健全的财务会计制度</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（三）具有履行合同所必须的设备和专业技术能力</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（四）具有依法缴纳税收和社会保障资金的良好记录</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（五）参加本次谈判活动前三年内，在经营活动中没有重大违法违规记录</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（六）在参加本次采购活动中，不存在与单位负责人为同一人或者存在直接控股、管理关系的其他供应商参与同一合同项下的采购活动的行为</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（八）本项目特殊资质要求</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1、本项目不允许联合体参加。</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2、本项目不允许合同分包。</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（九）其他类似效力要求：</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法定代表人身份证明</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法人及被授权人身份复印件</w:t>
      </w:r>
    </w:p>
    <w:p>
      <w:pPr>
        <w:pStyle w:val="2"/>
        <w:pageBreakBefore w:val="0"/>
        <w:kinsoku/>
        <w:wordWrap/>
        <w:overflowPunct/>
        <w:topLinePunct w:val="0"/>
        <w:bidi w:val="0"/>
        <w:adjustRightInd/>
        <w:spacing w:before="95" w:beforeLines="30" w:after="0" w:line="578" w:lineRule="exact"/>
        <w:ind w:left="0" w:leftChars="0" w:right="0" w:firstLine="643" w:firstLineChars="200"/>
        <w:rPr>
          <w:rFonts w:hint="default" w:ascii="Times New Roman" w:hAnsi="Times New Roman" w:eastAsia="仿宋" w:cs="Times New Roman"/>
          <w:b/>
          <w:bCs/>
          <w:sz w:val="32"/>
          <w:szCs w:val="32"/>
        </w:rPr>
      </w:pPr>
      <w:r>
        <w:rPr>
          <w:rFonts w:hint="default" w:ascii="Times New Roman" w:hAnsi="Times New Roman" w:eastAsia="仿宋" w:cs="Times New Roman"/>
          <w:b/>
          <w:bCs/>
          <w:color w:val="000000"/>
          <w:sz w:val="32"/>
          <w:szCs w:val="32"/>
          <w:shd w:val="clear" w:color="auto" w:fill="FFFFFF"/>
        </w:rPr>
        <w:t>注：资格条件及资格证明材料详见谈判文件第二章。</w:t>
      </w:r>
    </w:p>
    <w:p>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三、谈判文件获取</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谈判文件请登陆万源市中心医院官网（www.wyszxyy.com）自行下载获取。</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四、谈判报名及报名截止时间</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1、谈判报名方式：愿意参加本项目的</w:t>
      </w:r>
      <w:r>
        <w:rPr>
          <w:rFonts w:hint="default" w:ascii="Times New Roman" w:hAnsi="Times New Roman" w:eastAsia="仿宋" w:cs="Times New Roman"/>
          <w:color w:val="000000"/>
          <w:sz w:val="32"/>
          <w:szCs w:val="32"/>
          <w:shd w:val="clear" w:color="auto" w:fill="FFFFFF"/>
        </w:rPr>
        <w:t>供应商将报名登记表、营业执照、</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法定代表人授权委托书、被授权人身份复印件盖鲜章后</w:t>
      </w:r>
      <w:r>
        <w:rPr>
          <w:rFonts w:hint="default" w:ascii="Times New Roman" w:hAnsi="Times New Roman" w:eastAsia="仿宋" w:cs="Times New Roman"/>
          <w:color w:val="000000"/>
          <w:sz w:val="32"/>
          <w:szCs w:val="32"/>
          <w:shd w:val="clear" w:color="auto" w:fill="FFFFFF"/>
        </w:rPr>
        <w:t>扫描发送至采购联系人邮箱</w:t>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HYPERLINK "mailto:3484364898@qq.com%EF%BC%8C%E7%9B%B8%E5%BA%94%E6%9D%90%E6%96%99%E7%94%B1%E9%87%87%E8%B4%AD%E4%BB%A3%E7%90%86%E6%9C%BA%E6%9E%84%E7%95%99%E5%AD%98%E3%80%82"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shd w:val="clear" w:color="auto" w:fill="FFFFFF"/>
        </w:rPr>
        <w:t>1640451960@qq.com，并在上班时间（</w:t>
      </w:r>
      <w:r>
        <w:rPr>
          <w:rFonts w:hint="default" w:ascii="Times New Roman" w:hAnsi="Times New Roman" w:eastAsia="仿宋" w:cs="Times New Roman"/>
          <w:color w:val="000000"/>
          <w:sz w:val="32"/>
          <w:szCs w:val="32"/>
          <w:shd w:val="clear" w:color="auto" w:fill="FFFFFF"/>
        </w:rPr>
        <w:t>上午8:00-12:00，下午14:30-17:30</w:t>
      </w:r>
      <w:r>
        <w:rPr>
          <w:rFonts w:hint="default" w:ascii="Times New Roman" w:hAnsi="Times New Roman" w:eastAsia="仿宋" w:cs="Times New Roman"/>
          <w:sz w:val="32"/>
          <w:szCs w:val="32"/>
          <w:shd w:val="clear" w:color="auto" w:fill="FFFFFF"/>
        </w:rPr>
        <w:t>）电话通知采购联系人报名。</w:t>
      </w:r>
      <w:r>
        <w:rPr>
          <w:rFonts w:hint="default" w:ascii="Times New Roman" w:hAnsi="Times New Roman" w:eastAsia="仿宋" w:cs="Times New Roman"/>
          <w:sz w:val="32"/>
          <w:szCs w:val="32"/>
          <w:shd w:val="clear" w:color="auto" w:fill="FFFFFF"/>
        </w:rPr>
        <w:fldChar w:fldCharType="end"/>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2、谈判报名</w:t>
      </w:r>
      <w:r>
        <w:rPr>
          <w:rFonts w:hint="eastAsia" w:ascii="Times New Roman" w:hAnsi="Times New Roman" w:eastAsia="仿宋" w:cs="Times New Roman"/>
          <w:sz w:val="32"/>
          <w:szCs w:val="32"/>
          <w:lang w:eastAsia="zh-CN"/>
        </w:rPr>
        <w:t>截止</w:t>
      </w:r>
      <w:r>
        <w:rPr>
          <w:rFonts w:hint="default" w:ascii="Times New Roman" w:hAnsi="Times New Roman" w:eastAsia="仿宋" w:cs="Times New Roman"/>
          <w:sz w:val="32"/>
          <w:szCs w:val="32"/>
        </w:rPr>
        <w:t>时间：2024年</w:t>
      </w:r>
      <w:r>
        <w:rPr>
          <w:rFonts w:hint="eastAsia"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18</w:t>
      </w:r>
      <w:r>
        <w:rPr>
          <w:rFonts w:hint="default" w:ascii="Times New Roman" w:hAnsi="Times New Roman" w:eastAsia="仿宋" w:cs="Times New Roman"/>
          <w:sz w:val="32"/>
          <w:szCs w:val="32"/>
        </w:rPr>
        <w:t>日</w:t>
      </w:r>
      <w:r>
        <w:rPr>
          <w:rFonts w:hint="eastAsia" w:ascii="Times New Roman" w:hAnsi="Times New Roman" w:eastAsia="仿宋" w:cs="Times New Roman"/>
          <w:sz w:val="32"/>
          <w:szCs w:val="32"/>
          <w:lang w:val="en-US" w:eastAsia="zh-CN"/>
        </w:rPr>
        <w:t xml:space="preserve"> 9:00</w:t>
      </w:r>
      <w:r>
        <w:rPr>
          <w:rFonts w:hint="default" w:ascii="Times New Roman" w:hAnsi="Times New Roman" w:eastAsia="仿宋" w:cs="Times New Roman"/>
          <w:sz w:val="32"/>
          <w:szCs w:val="32"/>
        </w:rPr>
        <w:t>。</w:t>
      </w:r>
    </w:p>
    <w:p>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五、谈判文件递交</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谈判开始前现场递交（递交文件时必须是密封状态，否则采购人将拒绝接收）。</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六、谈判时间及地点：</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color w:val="000000" w:themeColor="text1"/>
          <w:sz w:val="32"/>
          <w:szCs w:val="32"/>
          <w14:textFill>
            <w14:solidFill>
              <w14:schemeClr w14:val="tx1"/>
            </w14:solidFill>
          </w14:textFill>
        </w:rPr>
        <w:t>1、谈判时间：</w:t>
      </w:r>
      <w:r>
        <w:rPr>
          <w:rFonts w:hint="default" w:ascii="Times New Roman" w:hAnsi="Times New Roman" w:eastAsia="仿宋" w:cs="Times New Roman"/>
          <w:sz w:val="32"/>
          <w:szCs w:val="32"/>
        </w:rPr>
        <w:t>2024年</w:t>
      </w:r>
      <w:r>
        <w:rPr>
          <w:rFonts w:hint="eastAsia"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18</w:t>
      </w:r>
      <w:r>
        <w:rPr>
          <w:rFonts w:hint="default" w:ascii="Times New Roman" w:hAnsi="Times New Roman" w:eastAsia="仿宋" w:cs="Times New Roman"/>
          <w:sz w:val="32"/>
          <w:szCs w:val="32"/>
        </w:rPr>
        <w:t>日</w:t>
      </w:r>
      <w:r>
        <w:rPr>
          <w:rFonts w:hint="eastAsia" w:ascii="Times New Roman" w:hAnsi="Times New Roman" w:eastAsia="仿宋" w:cs="Times New Roman"/>
          <w:sz w:val="32"/>
          <w:szCs w:val="32"/>
          <w:lang w:val="en-US" w:eastAsia="zh-CN"/>
        </w:rPr>
        <w:t xml:space="preserve"> 15</w:t>
      </w:r>
      <w:bookmarkStart w:id="68" w:name="_GoBack"/>
      <w:bookmarkEnd w:id="68"/>
      <w:r>
        <w:rPr>
          <w:rFonts w:hint="default" w:ascii="Times New Roman" w:hAnsi="Times New Roman" w:eastAsia="仿宋" w:cs="Times New Roman"/>
          <w:sz w:val="32"/>
          <w:szCs w:val="32"/>
        </w:rPr>
        <w:t>:00（北京时间）(如遇特殊情况，谈判时间另行通知)</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2、谈判地点：万源市中心医院小会议室</w:t>
      </w:r>
    </w:p>
    <w:p>
      <w:pPr>
        <w:pageBreakBefore w:val="0"/>
        <w:kinsoku/>
        <w:wordWrap/>
        <w:overflowPunct/>
        <w:topLinePunct w:val="0"/>
        <w:bidi w:val="0"/>
        <w:adjustRightInd/>
        <w:spacing w:before="95" w:beforeLines="30" w:line="578" w:lineRule="exact"/>
        <w:ind w:left="0" w:leftChars="0" w:right="0" w:firstLine="643" w:firstLineChars="200"/>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注：响应供应商需派代表出席谈判会。</w:t>
      </w:r>
    </w:p>
    <w:p>
      <w:pPr>
        <w:pageBreakBefore w:val="0"/>
        <w:numPr>
          <w:ilvl w:val="0"/>
          <w:numId w:val="0"/>
        </w:numPr>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kern w:val="2"/>
          <w:sz w:val="32"/>
          <w:szCs w:val="32"/>
          <w:lang w:val="zh-CN" w:eastAsia="zh-CN" w:bidi="ar-SA"/>
          <w14:textFill>
            <w14:solidFill>
              <w14:schemeClr w14:val="tx1"/>
            </w14:solidFill>
          </w14:textFill>
        </w:rPr>
        <w:t>七、</w:t>
      </w:r>
      <w:r>
        <w:rPr>
          <w:rFonts w:hint="default" w:ascii="黑体" w:hAnsi="黑体" w:eastAsia="黑体" w:cs="黑体"/>
          <w:color w:val="000000" w:themeColor="text1"/>
          <w:sz w:val="32"/>
          <w:szCs w:val="32"/>
          <w:lang w:val="zh-CN"/>
          <w14:textFill>
            <w14:solidFill>
              <w14:schemeClr w14:val="tx1"/>
            </w14:solidFill>
          </w14:textFill>
        </w:rPr>
        <w:t>结果公示</w:t>
      </w:r>
    </w:p>
    <w:p>
      <w:pPr>
        <w:pageBreakBefore w:val="0"/>
        <w:numPr>
          <w:ilvl w:val="0"/>
          <w:numId w:val="0"/>
        </w:numPr>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谈判结果在万源市中心医院官网（www.wyszxyy.com）上公示。</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八、</w:t>
      </w:r>
      <w:r>
        <w:rPr>
          <w:rFonts w:hint="default" w:ascii="黑体" w:hAnsi="黑体" w:eastAsia="黑体" w:cs="黑体"/>
          <w:color w:val="000000" w:themeColor="text1"/>
          <w:sz w:val="32"/>
          <w:szCs w:val="32"/>
          <w:lang w:val="zh-CN"/>
          <w14:textFill>
            <w14:solidFill>
              <w14:schemeClr w14:val="tx1"/>
            </w14:solidFill>
          </w14:textFill>
        </w:rPr>
        <w:t>其他</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当报名供应商小于3家时，作流标处理，采购人重新组织采购。</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九、联系方式</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1、采购人：万源市中心医院</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2、联系人：代老师      联系电话：13982894161</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3、地址：万源市中心医院采购办</w:t>
      </w:r>
    </w:p>
    <w:p>
      <w:pPr>
        <w:pageBreakBefore w:val="0"/>
        <w:widowControl/>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pPr>
        <w:pStyle w:val="19"/>
        <w:pageBreakBefore w:val="0"/>
        <w:kinsoku/>
        <w:wordWrap/>
        <w:overflowPunct/>
        <w:topLinePunct w:val="0"/>
        <w:bidi w:val="0"/>
        <w:adjustRightInd/>
        <w:spacing w:before="95" w:beforeLines="30" w:after="0" w:line="578" w:lineRule="exact"/>
        <w:ind w:left="0" w:leftChars="0" w:right="0"/>
        <w:rPr>
          <w:rFonts w:hint="eastAsia"/>
        </w:rPr>
      </w:pPr>
      <w:bookmarkStart w:id="11" w:name="_Toc9723"/>
      <w:r>
        <w:rPr>
          <w:rFonts w:hint="eastAsia"/>
        </w:rPr>
        <w:t xml:space="preserve">第二章 </w:t>
      </w:r>
      <w:r>
        <w:rPr>
          <w:rFonts w:hint="eastAsia"/>
          <w:lang w:eastAsia="zh-CN"/>
        </w:rPr>
        <w:t>供应商</w:t>
      </w:r>
      <w:r>
        <w:rPr>
          <w:rFonts w:hint="eastAsia"/>
        </w:rPr>
        <w:t>须知</w:t>
      </w:r>
      <w:bookmarkEnd w:id="11"/>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一、项目名称：</w:t>
      </w:r>
      <w:r>
        <w:rPr>
          <w:rFonts w:hint="default" w:ascii="Times New Roman" w:hAnsi="Times New Roman" w:eastAsia="仿宋" w:cs="Times New Roman"/>
          <w:color w:val="000000" w:themeColor="text1"/>
          <w:sz w:val="32"/>
          <w:szCs w:val="32"/>
          <w14:textFill>
            <w14:solidFill>
              <w14:schemeClr w14:val="tx1"/>
            </w14:solidFill>
          </w14:textFill>
        </w:rPr>
        <w:t>新院区连廊地坪、防护定制项目。</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二、谈判内容：</w:t>
      </w:r>
      <w:r>
        <w:rPr>
          <w:rFonts w:hint="default" w:ascii="Times New Roman" w:hAnsi="Times New Roman" w:eastAsia="仿宋" w:cs="Times New Roman"/>
          <w:color w:val="000000" w:themeColor="text1"/>
          <w:sz w:val="32"/>
          <w:szCs w:val="32"/>
          <w14:textFill>
            <w14:solidFill>
              <w14:schemeClr w14:val="tx1"/>
            </w14:solidFill>
          </w14:textFill>
        </w:rPr>
        <w:t>通过院内谈判方式，确定1家供应商作为新院区连廊地坪、防护定制项目采购项目供应商。</w:t>
      </w:r>
    </w:p>
    <w:p>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三、谈判响应人资格要求、相关证明材料要求（本项中所要求提供的证明材料均须加盖谈判响应人公章，否则将视为无效证明材料）：</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（一）在中华人民共和国境内注册，具有独立承担民事责任能力的机构（提供“三证合一”的营业执照复印件）</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具有良好的商业信誉和健全的财务会计制度【具有良好的商业信誉和健全的财务会计制度。至少提供以下材料之一①提供2022或2023年度经审计的财务报告复印件（包含审计报告和审计报告中所涉及的财务报表和报表附注）或2022或2023年度响应人内部的财务报表复印件（至少包含资产负债表）或截至《响应文件》递交截止日一年内银行出具的资信证明复印件；②成立不足一年的谈判响应人可提供在工商备案的章程。③提供承诺函，格式自拟；④其他能证明良好商业信誉的其他相关证明材料】</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（三）具有履行合同所必须的设备和专业技术能力（提供承诺函）</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（四）具有依法缴纳税收和社会保障资金的良好记录（提供近半年内任意1月的缴税及社保缴纳证明或承诺函）</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（五）参加本次谈判活动前三年内，在经营活动中没有重大违法违规记录（提供承诺函</w:t>
      </w:r>
      <w:r>
        <w:rPr>
          <w:rFonts w:hint="default" w:ascii="Times New Roman" w:hAnsi="Times New Roman" w:eastAsia="仿宋" w:cs="Times New Roman"/>
          <w:color w:val="000000" w:themeColor="text1"/>
          <w:sz w:val="32"/>
          <w:szCs w:val="32"/>
          <w:lang w:eastAsia="zh-CN"/>
          <w14:textFill>
            <w14:solidFill>
              <w14:schemeClr w14:val="tx1"/>
            </w14:solidFill>
          </w14:textFill>
        </w:rPr>
        <w:t>及</w:t>
      </w:r>
      <w:r>
        <w:rPr>
          <w:rFonts w:hint="default" w:ascii="Times New Roman" w:hAnsi="Times New Roman" w:eastAsia="仿宋" w:cs="Times New Roman"/>
          <w:color w:val="000000" w:themeColor="text1"/>
          <w:sz w:val="32"/>
          <w:szCs w:val="32"/>
          <w14:textFill>
            <w14:solidFill>
              <w14:schemeClr w14:val="tx1"/>
            </w14:solidFill>
          </w14:textFill>
        </w:rPr>
        <w:t>“信用中国”下载的信用信息报告）</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（八）本项目特殊资质要求</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1、本项目不允许联合体参加（提供承诺函）。</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2、本项目不允许合同分包（提供承诺函）。</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（九）其他类似效力要求</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法定代表人身份证明</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法人及被授权人身份复印件</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四、本项目评审方式：</w:t>
      </w:r>
      <w:r>
        <w:rPr>
          <w:rFonts w:hint="default" w:ascii="Times New Roman" w:hAnsi="Times New Roman" w:eastAsia="仿宋" w:cs="Times New Roman"/>
          <w:color w:val="000000" w:themeColor="text1"/>
          <w:sz w:val="32"/>
          <w:szCs w:val="32"/>
          <w:lang w:val="zh-CN"/>
          <w14:textFill>
            <w14:solidFill>
              <w14:schemeClr w14:val="tx1"/>
            </w14:solidFill>
          </w14:textFill>
        </w:rPr>
        <w:t>最低评标价法。</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五、谈判文件的组成</w:t>
      </w:r>
      <w:r>
        <w:rPr>
          <w:rFonts w:hint="default" w:ascii="Times New Roman" w:hAnsi="Times New Roman" w:eastAsia="仿宋" w:cs="Times New Roman"/>
          <w:color w:val="000000" w:themeColor="text1"/>
          <w:sz w:val="32"/>
          <w:szCs w:val="32"/>
          <w:lang w:val="zh-CN"/>
          <w14:textFill>
            <w14:solidFill>
              <w14:schemeClr w14:val="tx1"/>
            </w14:solidFill>
          </w14:textFill>
        </w:rPr>
        <w:t>(若本文件未提供格式的可格式自拟)</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（一）谈判响应函</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（二）承诺函</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（三）投标人廉政承诺书</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（四）资格证明材料</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w:t>
      </w:r>
      <w:r>
        <w:rPr>
          <w:rFonts w:hint="default" w:ascii="Times New Roman" w:hAnsi="Times New Roman" w:eastAsia="仿宋" w:cs="Times New Roman"/>
          <w:color w:val="000000" w:themeColor="text1"/>
          <w:sz w:val="32"/>
          <w:szCs w:val="32"/>
          <w:lang w:eastAsia="zh-CN"/>
          <w14:textFill>
            <w14:solidFill>
              <w14:schemeClr w14:val="tx1"/>
            </w14:solidFill>
          </w14:textFill>
        </w:rPr>
        <w:t>供应商</w:t>
      </w:r>
      <w:r>
        <w:rPr>
          <w:rFonts w:hint="default" w:ascii="Times New Roman" w:hAnsi="Times New Roman" w:eastAsia="仿宋" w:cs="Times New Roman"/>
          <w:color w:val="000000" w:themeColor="text1"/>
          <w:sz w:val="32"/>
          <w:szCs w:val="32"/>
          <w14:textFill>
            <w14:solidFill>
              <w14:schemeClr w14:val="tx1"/>
            </w14:solidFill>
          </w14:textFill>
        </w:rPr>
        <w:t>基本情况表</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（六）报价明细表</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（七）服务要求应答表</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（八）商务应答表</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（九）其它资料（若有）</w:t>
      </w:r>
    </w:p>
    <w:p>
      <w:pPr>
        <w:pageBreakBefore w:val="0"/>
        <w:kinsoku/>
        <w:wordWrap/>
        <w:overflowPunct/>
        <w:topLinePunct w:val="0"/>
        <w:bidi w:val="0"/>
        <w:adjustRightInd/>
        <w:spacing w:before="95" w:beforeLines="30" w:line="578" w:lineRule="exact"/>
        <w:ind w:left="0" w:leftChars="0" w:right="0" w:firstLine="643" w:firstLineChars="200"/>
        <w:rPr>
          <w:rFonts w:hint="default" w:ascii="Times New Roman" w:hAnsi="Times New Roman" w:eastAsia="仿宋" w:cs="Times New Roman"/>
          <w:b/>
          <w:bCs/>
          <w:color w:val="000000" w:themeColor="text1"/>
          <w:sz w:val="32"/>
          <w:szCs w:val="32"/>
          <w14:textFill>
            <w14:solidFill>
              <w14:schemeClr w14:val="tx1"/>
            </w14:solidFill>
          </w14:textFill>
        </w:rPr>
      </w:pPr>
      <w:r>
        <w:rPr>
          <w:rFonts w:hint="default" w:ascii="Times New Roman" w:hAnsi="Times New Roman" w:eastAsia="仿宋" w:cs="Times New Roman"/>
          <w:b/>
          <w:bCs/>
          <w:color w:val="000000" w:themeColor="text1"/>
          <w:sz w:val="32"/>
          <w:szCs w:val="32"/>
          <w14:textFill>
            <w14:solidFill>
              <w14:schemeClr w14:val="tx1"/>
            </w14:solidFill>
          </w14:textFill>
        </w:rPr>
        <w:t>注：谈判响应人所提供的《谈判响应文件》均须逐页加盖谈判响应人公章，否则其《谈判响应文件》将被视为无效。</w:t>
      </w:r>
    </w:p>
    <w:p>
      <w:pPr>
        <w:pageBreakBefore w:val="0"/>
        <w:numPr>
          <w:ilvl w:val="0"/>
          <w:numId w:val="0"/>
        </w:numPr>
        <w:kinsoku/>
        <w:wordWrap/>
        <w:overflowPunct/>
        <w:topLinePunct w:val="0"/>
        <w:bidi w:val="0"/>
        <w:adjustRightInd/>
        <w:spacing w:before="95" w:beforeLines="30" w:line="578" w:lineRule="exact"/>
        <w:ind w:left="0" w:leftChars="0" w:right="0" w:rightChars="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kern w:val="2"/>
          <w:sz w:val="32"/>
          <w:szCs w:val="32"/>
          <w:lang w:val="zh-CN" w:eastAsia="zh-CN" w:bidi="ar-SA"/>
          <w14:textFill>
            <w14:solidFill>
              <w14:schemeClr w14:val="tx1"/>
            </w14:solidFill>
          </w14:textFill>
        </w:rPr>
        <w:t>六、</w:t>
      </w:r>
      <w:r>
        <w:rPr>
          <w:rFonts w:hint="default" w:ascii="黑体" w:hAnsi="黑体" w:eastAsia="黑体" w:cs="黑体"/>
          <w:color w:val="000000" w:themeColor="text1"/>
          <w:sz w:val="32"/>
          <w:szCs w:val="32"/>
          <w:lang w:val="zh-CN"/>
          <w14:textFill>
            <w14:solidFill>
              <w14:schemeClr w14:val="tx1"/>
            </w14:solidFill>
          </w14:textFill>
        </w:rPr>
        <w:t>谈判响应文件有效期（实质性要求）：</w:t>
      </w:r>
    </w:p>
    <w:p>
      <w:pPr>
        <w:pageBreakBefore w:val="0"/>
        <w:numPr>
          <w:ilvl w:val="0"/>
          <w:numId w:val="0"/>
        </w:numPr>
        <w:kinsoku/>
        <w:wordWrap/>
        <w:overflowPunct/>
        <w:topLinePunct w:val="0"/>
        <w:bidi w:val="0"/>
        <w:adjustRightInd/>
        <w:spacing w:before="95" w:beforeLines="30" w:line="578" w:lineRule="exact"/>
        <w:ind w:left="0" w:leftChars="0" w:right="0" w:rightChars="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从递交谈判响应文件的截止日期起</w:t>
      </w:r>
      <w:r>
        <w:rPr>
          <w:rFonts w:hint="default" w:ascii="Times New Roman" w:hAnsi="Times New Roman" w:eastAsia="仿宋" w:cs="Times New Roman"/>
          <w:color w:val="000000" w:themeColor="text1"/>
          <w:sz w:val="32"/>
          <w:szCs w:val="32"/>
          <w:u w:val="single"/>
          <w14:textFill>
            <w14:solidFill>
              <w14:schemeClr w14:val="tx1"/>
            </w14:solidFill>
          </w14:textFill>
        </w:rPr>
        <w:t>90</w:t>
      </w:r>
      <w:r>
        <w:rPr>
          <w:rFonts w:hint="default" w:ascii="Times New Roman" w:hAnsi="Times New Roman" w:eastAsia="仿宋" w:cs="Times New Roman"/>
          <w:color w:val="000000" w:themeColor="text1"/>
          <w:sz w:val="32"/>
          <w:szCs w:val="32"/>
          <w14:textFill>
            <w14:solidFill>
              <w14:schemeClr w14:val="tx1"/>
            </w14:solidFill>
          </w14:textFill>
        </w:rPr>
        <w:t>日历天。</w:t>
      </w:r>
    </w:p>
    <w:p>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bookmarkStart w:id="12" w:name="_Toc123843528"/>
      <w:r>
        <w:rPr>
          <w:rFonts w:hint="default" w:ascii="黑体" w:hAnsi="黑体" w:eastAsia="黑体" w:cs="黑体"/>
          <w:color w:val="000000" w:themeColor="text1"/>
          <w:sz w:val="32"/>
          <w:szCs w:val="32"/>
          <w:lang w:val="zh-CN"/>
          <w14:textFill>
            <w14:solidFill>
              <w14:schemeClr w14:val="tx1"/>
            </w14:solidFill>
          </w14:textFill>
        </w:rPr>
        <w:t>七、谈判响应文件的密封和递交</w:t>
      </w:r>
      <w:bookmarkEnd w:id="12"/>
      <w:r>
        <w:rPr>
          <w:rFonts w:hint="default" w:ascii="黑体" w:hAnsi="黑体" w:eastAsia="黑体" w:cs="黑体"/>
          <w:color w:val="000000" w:themeColor="text1"/>
          <w:sz w:val="32"/>
          <w:szCs w:val="32"/>
          <w:lang w:val="zh-CN"/>
          <w14:textFill>
            <w14:solidFill>
              <w14:schemeClr w14:val="tx1"/>
            </w14:solidFill>
          </w14:textFill>
        </w:rPr>
        <w:t>：</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（一）谈判响应文件的编制和签署</w:t>
      </w:r>
      <w:r>
        <w:rPr>
          <w:rFonts w:hint="default" w:ascii="Times New Roman" w:hAnsi="Times New Roman" w:eastAsia="仿宋" w:cs="Times New Roman"/>
          <w:color w:val="000000" w:themeColor="text1"/>
          <w:sz w:val="32"/>
          <w:szCs w:val="32"/>
          <w:lang w:val="zh-CN"/>
          <w14:textFill>
            <w14:solidFill>
              <w14:schemeClr w14:val="tx1"/>
            </w14:solidFill>
          </w14:textFill>
        </w:rPr>
        <w:t>（实质性要求）</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1.谈判响应文件正本壹份，副本贰份，并在其封面上清楚地标明谈判响应文件、项目名称、谈判响应人名称。</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2.谈判响应文件需在规定签章处签字和盖章。</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3.谈判响应文件的打印和书写应清楚工整，任何行间插字、涂改或增删，必须由谈判响应人的法定代表人或其授权代表签字并盖谈判响应人公章。</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谈判响应文件应由谈判响应人法定代表人或其授权代表在谈判响应文件要求的地方签字（或加盖私人印章），要求加盖公章的地方加盖单位公章，不得使用专用章（如经济合同章、投标专用章等）或下属单位印章代替。</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5.谈判响应文件需要逐页编目编码。</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6.谈判响应文件应当采用胶装方式装订成册，不得散装或者合页装订。</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7.谈判响应文件应根据谈判文件的要求制作，签署、盖章。</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（二）谈判响应文件的密封和标注（不属于本项目评审范畴，由谈判人在接收谈判响应文件时及时处理）</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 谈判响应文件可以单独密封包装，也可以所有谈判响应文件密封包装在一个密封袋内。</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 谈判响应文件密封袋的最外层应清楚地标明项目名称、谈判响应人名称。</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3.所有外层密封袋的封口处应粘贴牢固，并加盖公章。</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4.未按以上要求进行密封和标注的谈判响应文件，谈判人将拒收或者在时间允许的范围内，要求修改完善后接收。</w:t>
      </w:r>
    </w:p>
    <w:p>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八、谈判程序：</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（一）谈判由采购人主持。</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（二）由现场监督人员检查谈判文件密封性并签字确认。</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（三）谈判小组对谈判文件进行资格审查。</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（四）谈判小组所有成员集中对资格审查通过的供应商分别进行一轮或多轮谈判。</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（五）符合项目要求的供应商每轮谈判后在规定时间内提交报价。</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（六）谈判小组按照供应商最后报价由低到高顺序推荐成交候选供应商。</w:t>
      </w:r>
    </w:p>
    <w:p>
      <w:pPr>
        <w:pageBreakBefore w:val="0"/>
        <w:kinsoku/>
        <w:wordWrap/>
        <w:overflowPunct/>
        <w:topLinePunct w:val="0"/>
        <w:bidi w:val="0"/>
        <w:adjustRightInd/>
        <w:spacing w:before="95" w:beforeLines="30" w:line="578" w:lineRule="exact"/>
        <w:ind w:left="0" w:leftChars="0" w:right="0" w:firstLine="640" w:firstLineChars="200"/>
        <w:rPr>
          <w:rFonts w:hint="eastAsia"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九、评审办法</w:t>
      </w:r>
      <w:r>
        <w:rPr>
          <w:rFonts w:hint="eastAsia" w:ascii="黑体" w:hAnsi="黑体" w:eastAsia="黑体" w:cs="黑体"/>
          <w:color w:val="000000" w:themeColor="text1"/>
          <w:sz w:val="32"/>
          <w:szCs w:val="32"/>
          <w:lang w:val="zh-CN"/>
          <w14:textFill>
            <w14:solidFill>
              <w14:schemeClr w14:val="tx1"/>
            </w14:solidFill>
          </w14:textFill>
        </w:rPr>
        <w:t>：</w:t>
      </w:r>
    </w:p>
    <w:p>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Times New Roman" w:hAnsi="Times New Roman" w:eastAsia="仿宋" w:cs="Times New Roman"/>
          <w:color w:val="000000" w:themeColor="text1"/>
          <w:kern w:val="2"/>
          <w:sz w:val="32"/>
          <w:szCs w:val="32"/>
          <w:lang w:val="zh-CN" w:eastAsia="zh-CN" w:bidi="ar-SA"/>
          <w14:textFill>
            <w14:solidFill>
              <w14:schemeClr w14:val="tx1"/>
            </w14:solidFill>
          </w14:textFill>
        </w:rPr>
        <w:t>参照本谈判文件第三章内容。</w:t>
      </w:r>
    </w:p>
    <w:p>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十、确定成交供应商：</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在评审结束后，采购人根据谈判小组推荐的供应商顺序确定成交供应商。</w:t>
      </w: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p>
    <w:p>
      <w:pPr>
        <w:pStyle w:val="19"/>
        <w:pageBreakBefore w:val="0"/>
        <w:kinsoku/>
        <w:wordWrap/>
        <w:overflowPunct/>
        <w:topLinePunct w:val="0"/>
        <w:bidi w:val="0"/>
        <w:adjustRightInd/>
        <w:spacing w:before="95" w:beforeLines="30" w:after="0" w:line="578" w:lineRule="exact"/>
        <w:ind w:left="0" w:leftChars="0" w:right="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Times New Roman" w:hAnsi="Times New Roman" w:eastAsia="仿宋" w:cs="Times New Roman"/>
          <w:sz w:val="32"/>
          <w:szCs w:val="32"/>
        </w:rPr>
        <w:br w:type="page"/>
      </w:r>
      <w:bookmarkStart w:id="13" w:name="_Toc8526"/>
      <w:r>
        <w:rPr>
          <w:rFonts w:hint="default"/>
        </w:rPr>
        <w:t>第三章 评审办法</w:t>
      </w:r>
      <w:bookmarkEnd w:id="13"/>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p>
    <w:p>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一、总则</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（一）谈判小组在评审过程中，应当按照相关法律法规的规定履行职责和义务，不得违法评审、违反评审工作纪律。</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（二）评标组织</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1、本项目评标小组由采购人组织。</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2、评标、决标全过程由监督代表监督。</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（三）谈判工作应遵循公平、公正、科学及择优的原则，并以相同的谈判程序和标准对待所有的供应商。</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（四）谈判小组按照谈判文件规定的谈判方法和标准进行谈判，并独立履行下列职责：</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1、熟悉和理解谈判文件，确定谈判文件内容是否违反国家有关强制性规定或者谈判文件存在歧义、重大缺陷；</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2、审查供应商响应文件是否满足谈判文件要求，并作出公正评价；</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3、根据需要要求供应商对谈判文件有关事项作出澄清、说明或者纠正；</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4、推荐成交供应商，或者受采购人委托确定成交供应商；</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5、起草评审报告并进行签署；</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6、向采购人报告非法干预评审工作的行为；</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7、法律、法规和规章规定的其他职责。</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（五）（实质性要求）谈判过程独立、保密。供应商非法干预谈判过程的，其响应文件作为无效处理。</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（六）谈判小组评价响应文件，除谈判小组要求其澄清、说明或者纠正而提供的资料外，仅依据响应文件本身的内容，不寻求供应商提供其他外部证据。</w:t>
      </w:r>
    </w:p>
    <w:p>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二、评审程序</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（一）熟悉和理解谈判文件和停止评审。</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1.谈判小组正式评审前，应当对谈判文件进行熟悉和理解，内容主要包括谈判文件中供应商资格条件要求、采购项目技术、服务和商务要求、评审方法和标准、采购政策要求等。</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2.本谈判文件有下列情形之一的，谈判小组应当停止评审：</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谈判文件的规定存在歧义、重大缺陷的；</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谈判文件明显以不合理条件对供应商实行差别待遇或者歧视待遇的；</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谈判文件载明的成交原则不合法的；</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（4）</w:t>
      </w:r>
      <w:r>
        <w:rPr>
          <w:rFonts w:hint="default" w:ascii="Times New Roman" w:hAnsi="Times New Roman" w:eastAsia="仿宋" w:cs="Times New Roman"/>
          <w:color w:val="000000" w:themeColor="text1"/>
          <w:sz w:val="32"/>
          <w:szCs w:val="32"/>
          <w14:textFill>
            <w14:solidFill>
              <w14:schemeClr w14:val="tx1"/>
            </w14:solidFill>
          </w14:textFill>
        </w:rPr>
        <w:t>谈判文件有违反国家其他有关强制性规定的情形。</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3.出现上述第2条规定应当停止评审情形的，谈判小组应当向采购人书面说明情况。除本条规定的情形外，谈判小组不得以任何方式和理由停止评审。</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4.谈判小组不得以下列情形对供应商响应文件作无效处理：</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（1）响应文件装订、纸张、文件排序、编目编码等非实质性的格式、形式问题。</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（2）供应商响应文件格式不符合采购文件所述的响应文件格式要求。</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（二）资格性审查。</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1.谈判小组应依据法律法规和谈判文件的规定，对响应文件是否按照规定要求提供资格性证明材料、是否属于禁止参加谈判的供应商等进行审查，以确定供应商是否具备谈判资格。</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2.资格性审查结束后，谈判小组应当出具资格性审查报告，没有通过资格审查的供应商，谈判小组应当在资格审查报告中说明原因。</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3.谈判小组应依据谈判文件规定的所有实质性要求，对符合资格的响应文件进行有效性、完整性和响应程度审查，以确定参加谈判的供应商名单。</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未通过资格性审查的供应商或其响应文件有效性、完整性和响应不符合的，谈判小组应填写供应商淘汰表，写明未通过的原因，并由供应商签字确认，供应商拒绝签字的，谈判小组应注明情况并经监督人员签字确认。</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5.通过资格性审查和实质性响应审查的供应商不足 3 家的，终止本次采购活动，并发布终止采购活动公告。</w:t>
      </w:r>
    </w:p>
    <w:p>
      <w:pPr>
        <w:pStyle w:val="2"/>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供应商资格性审查表</w:t>
      </w:r>
    </w:p>
    <w:tbl>
      <w:tblPr>
        <w:tblStyle w:val="21"/>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序号</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审查内容</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是否是在中华人民共和国境内注册，具有独立承担民事责任能力的机构。</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是否具有良好的商业信誉和健全的财务会计制度。</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是否具有履行合同所必须的设备和专业技术能力。</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是否具有依法缴纳税收和社会保障资金的良好记录。</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是否参加本次谈判活动前三年内，在经营活动中没有重大违法违规记录。</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8</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是否为联合体参与</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9</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sz w:val="32"/>
                <w:szCs w:val="32"/>
              </w:rPr>
              <w:t>是否存在合同分包</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10</w:t>
            </w:r>
          </w:p>
        </w:tc>
        <w:tc>
          <w:tcPr>
            <w:tcW w:w="4597"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其他类似效力要求</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法定代表人身份证明</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法人及经办人身份复印件</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审查结论</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bl>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响应文件满足以上符合性审查要求的，则通过</w:t>
      </w:r>
      <w:r>
        <w:rPr>
          <w:rFonts w:hint="default" w:ascii="Times New Roman" w:hAnsi="Times New Roman" w:eastAsia="仿宋" w:cs="Times New Roman"/>
          <w:color w:val="000000" w:themeColor="text1"/>
          <w:sz w:val="32"/>
          <w:szCs w:val="32"/>
          <w:lang w:eastAsia="zh-CN"/>
          <w14:textFill>
            <w14:solidFill>
              <w14:schemeClr w14:val="tx1"/>
            </w14:solidFill>
          </w14:textFill>
        </w:rPr>
        <w:t>资格</w:t>
      </w:r>
      <w:r>
        <w:rPr>
          <w:rFonts w:hint="default" w:ascii="Times New Roman" w:hAnsi="Times New Roman" w:eastAsia="仿宋" w:cs="Times New Roman"/>
          <w:color w:val="000000" w:themeColor="text1"/>
          <w:sz w:val="32"/>
          <w:szCs w:val="32"/>
          <w14:textFill>
            <w14:solidFill>
              <w14:schemeClr w14:val="tx1"/>
            </w14:solidFill>
          </w14:textFill>
        </w:rPr>
        <w:t>审查；如有任意一项未满足</w:t>
      </w:r>
      <w:r>
        <w:rPr>
          <w:rFonts w:hint="default" w:ascii="Times New Roman" w:hAnsi="Times New Roman" w:eastAsia="仿宋" w:cs="Times New Roman"/>
          <w:color w:val="000000" w:themeColor="text1"/>
          <w:sz w:val="32"/>
          <w:szCs w:val="32"/>
          <w:lang w:eastAsia="zh-CN"/>
          <w14:textFill>
            <w14:solidFill>
              <w14:schemeClr w14:val="tx1"/>
            </w14:solidFill>
          </w14:textFill>
        </w:rPr>
        <w:t>资格</w:t>
      </w:r>
      <w:r>
        <w:rPr>
          <w:rFonts w:hint="default" w:ascii="Times New Roman" w:hAnsi="Times New Roman" w:eastAsia="仿宋" w:cs="Times New Roman"/>
          <w:color w:val="000000" w:themeColor="text1"/>
          <w:sz w:val="32"/>
          <w:szCs w:val="32"/>
          <w14:textFill>
            <w14:solidFill>
              <w14:schemeClr w14:val="tx1"/>
            </w14:solidFill>
          </w14:textFill>
        </w:rPr>
        <w:t>审查要求的，则按无效响应处理，并在谈判报告中载明未通过</w:t>
      </w:r>
      <w:r>
        <w:rPr>
          <w:rFonts w:hint="default" w:ascii="Times New Roman" w:hAnsi="Times New Roman" w:eastAsia="仿宋" w:cs="Times New Roman"/>
          <w:color w:val="000000" w:themeColor="text1"/>
          <w:sz w:val="32"/>
          <w:szCs w:val="32"/>
          <w:lang w:eastAsia="zh-CN"/>
          <w14:textFill>
            <w14:solidFill>
              <w14:schemeClr w14:val="tx1"/>
            </w14:solidFill>
          </w14:textFill>
        </w:rPr>
        <w:t>资格</w:t>
      </w:r>
      <w:r>
        <w:rPr>
          <w:rFonts w:hint="default" w:ascii="Times New Roman" w:hAnsi="Times New Roman" w:eastAsia="仿宋" w:cs="Times New Roman"/>
          <w:color w:val="000000" w:themeColor="text1"/>
          <w:sz w:val="32"/>
          <w:szCs w:val="32"/>
          <w14:textFill>
            <w14:solidFill>
              <w14:schemeClr w14:val="tx1"/>
            </w14:solidFill>
          </w14:textFill>
        </w:rPr>
        <w:t>审查的具体原因。</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（三）</w:t>
      </w:r>
      <w:r>
        <w:rPr>
          <w:rFonts w:hint="default" w:ascii="Times New Roman" w:hAnsi="Times New Roman" w:eastAsia="仿宋" w:cs="Times New Roman"/>
          <w:color w:val="000000" w:themeColor="text1"/>
          <w:sz w:val="32"/>
          <w:szCs w:val="32"/>
          <w14:textFill>
            <w14:solidFill>
              <w14:schemeClr w14:val="tx1"/>
            </w14:solidFill>
          </w14:textFill>
        </w:rPr>
        <w:t>符合性审查</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1.谈判开始前，谈判小组对供应商首次提交的响应文件（包括报价）进行审查，审查内容为谈判文件不允许实质性变动的实质性要求，不符合实质性要求或应当作无效响应处理的，作无效响应处理。</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2.谈判小组应对供应商已标价清单进行算术性复核，如果出现下列不一致的，按以下原则进行修正：</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（1）报价大写金额和小写金额不一致的，以大写金额为准。但大写金额文字存在错误的，应当先对大写金额的文字错误进行澄清、说明或者更正，再行修正。</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（2）总价金额与依据单价计算出的结果不一致的，以单价为准修正总价，但单价小数点有明显错误的除外。</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修正后的报价经供应商确认后产生约束力，供应商不确认的，其响应文件作为无效处理。供应商确认采取书面方式并经供应商授权代表签字。谈判小组不得未经书面形式要求供应商确认，直接将供应商响应文件作为无效处理。</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在符合性审查过程中，如果出现谈判小组成员意见不一致的情况，按照少数服从多数的原则确定，但不得违背政府采购基本原则和谈判文件规定。</w:t>
      </w:r>
    </w:p>
    <w:p>
      <w:pPr>
        <w:pStyle w:val="2"/>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符合性审查表</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81"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序号</w:t>
            </w:r>
          </w:p>
        </w:tc>
        <w:tc>
          <w:tcPr>
            <w:tcW w:w="4893"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符合性审查内容</w:t>
            </w:r>
          </w:p>
        </w:tc>
        <w:tc>
          <w:tcPr>
            <w:tcW w:w="3000"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审核结果</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1</w:t>
            </w:r>
          </w:p>
        </w:tc>
        <w:tc>
          <w:tcPr>
            <w:tcW w:w="4893"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eastAsia="zh-CN"/>
              </w:rPr>
            </w:pPr>
            <w:r>
              <w:rPr>
                <w:rFonts w:hint="default" w:ascii="Times New Roman" w:hAnsi="Times New Roman" w:eastAsia="仿宋" w:cs="Times New Roman"/>
                <w:spacing w:val="-4"/>
                <w:sz w:val="32"/>
                <w:szCs w:val="32"/>
              </w:rPr>
              <w:t>供应商基本信息表</w:t>
            </w:r>
          </w:p>
        </w:tc>
        <w:tc>
          <w:tcPr>
            <w:tcW w:w="3000"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val="en-US" w:eastAsia="zh-CN"/>
              </w:rPr>
            </w:pPr>
            <w:r>
              <w:rPr>
                <w:rFonts w:hint="default" w:ascii="Times New Roman" w:hAnsi="Times New Roman" w:eastAsia="仿宋" w:cs="Times New Roman"/>
                <w:spacing w:val="-4"/>
                <w:sz w:val="32"/>
                <w:szCs w:val="32"/>
                <w:lang w:val="en-US" w:eastAsia="zh-CN"/>
              </w:rPr>
              <w:t>2</w:t>
            </w:r>
          </w:p>
        </w:tc>
        <w:tc>
          <w:tcPr>
            <w:tcW w:w="4893"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报价表</w:t>
            </w:r>
          </w:p>
        </w:tc>
        <w:tc>
          <w:tcPr>
            <w:tcW w:w="3000"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val="en-US" w:eastAsia="zh-CN"/>
              </w:rPr>
            </w:pPr>
            <w:r>
              <w:rPr>
                <w:rFonts w:hint="default" w:ascii="Times New Roman" w:hAnsi="Times New Roman" w:eastAsia="仿宋" w:cs="Times New Roman"/>
                <w:spacing w:val="-4"/>
                <w:sz w:val="32"/>
                <w:szCs w:val="32"/>
                <w:lang w:val="en-US" w:eastAsia="zh-CN"/>
              </w:rPr>
              <w:t>3</w:t>
            </w:r>
          </w:p>
        </w:tc>
        <w:tc>
          <w:tcPr>
            <w:tcW w:w="4893"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技术要求应答表</w:t>
            </w:r>
          </w:p>
        </w:tc>
        <w:tc>
          <w:tcPr>
            <w:tcW w:w="3000"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val="en-US" w:eastAsia="zh-CN"/>
              </w:rPr>
            </w:pPr>
            <w:r>
              <w:rPr>
                <w:rFonts w:hint="default" w:ascii="Times New Roman" w:hAnsi="Times New Roman" w:eastAsia="仿宋" w:cs="Times New Roman"/>
                <w:spacing w:val="-4"/>
                <w:sz w:val="32"/>
                <w:szCs w:val="32"/>
                <w:lang w:val="en-US" w:eastAsia="zh-CN"/>
              </w:rPr>
              <w:t>4</w:t>
            </w:r>
          </w:p>
        </w:tc>
        <w:tc>
          <w:tcPr>
            <w:tcW w:w="4893" w:type="dxa"/>
            <w:vAlign w:val="center"/>
          </w:tcPr>
          <w:p>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商务要求应答表</w:t>
            </w:r>
          </w:p>
        </w:tc>
        <w:tc>
          <w:tcPr>
            <w:tcW w:w="3000"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5</w:t>
            </w:r>
          </w:p>
        </w:tc>
        <w:tc>
          <w:tcPr>
            <w:tcW w:w="4893"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文件签署和盖章</w:t>
            </w:r>
          </w:p>
        </w:tc>
        <w:tc>
          <w:tcPr>
            <w:tcW w:w="3000"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6</w:t>
            </w:r>
          </w:p>
        </w:tc>
        <w:tc>
          <w:tcPr>
            <w:tcW w:w="4893"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谈判文件的其他要求</w:t>
            </w:r>
          </w:p>
        </w:tc>
        <w:tc>
          <w:tcPr>
            <w:tcW w:w="3000"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审查结论</w:t>
            </w:r>
          </w:p>
        </w:tc>
        <w:tc>
          <w:tcPr>
            <w:tcW w:w="3000"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bl>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响应文件满足以上符合性审查要求的，则通过符合性审查；如有任意一项未满足符合性审查要求的，则按无效响应处理，并在谈判报告中载明未通过符合性审查的具体原因。</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（四）谈判</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小组所有成员集中与资格审查通过的单一供应商分别进行一轮或多轮谈判，并给予资格审查通过的供应商平等的谈判机会。谈判顺序以现场抽签的方式确定。谈判过程中，谈判小组可以根据谈判情况调整谈判轮次。</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2.每轮谈判开始前，谈判小组应根据谈判文件的规定，并结合各供应商的响应文件拟定谈判内容。</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3.在谈判过程中，谈判小组可以根据谈判文件和谈判情况实质性变动谈判文件的技术、服务要求以及合同草案条款，但不得变动谈判文件中的其他内容。</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4.谈判过程中，谈判的任何一方不得透露与谈判有关的其他供应商的技术资料、价格和其他信息。</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5.谈判过程中，谈判小组发现或者知晓供应商存在违法、违纪行为的，谈判小组应当将该供应商淘汰，不允许其提交最后报价。</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6.谈判完成后，谈判小组应出具谈判情况记录表，谈判情况记录表需包含谈判内容、谈判意见、实质性变动内容等。</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（四）最后报价。</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1.谈判文件能够详细列明采购标的的技术、服务要求的，谈判结束后，谈判小组应当要求所有实质性响应的供应商在规定时间内提交最后报价，提交最后报价的供应商不得少于 3 家。或谈判文件不能详细列明采购标的的技术、服务要求，需经谈判由供应商提供最终设计方案或解决方案的，谈判结束后，谈判小组应当按照少数服从多数的原则投票推荐 3 家以上供应商的设计方案或者解决方案，并要求其在规定时间内提交最后报价。</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3.供应商最后报价应当由法定代表人/负责人或其授权代表签字确认或加盖公章。最后报价是供应商响应文件的有效组成部分。</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最后报价中的算术错误将按以下方法修正：响应文件的大写金额和小写金额不一致的，以大写金额为准。如果小写、大写金额出现明显文字错误，应当按照澄清、说明或者更正程序先纠正错误后，再行修正，不得不经过澄清、说明或者更正，直接将供应商响应文件作为无效处理。对不同文字文本响应文件的解释发生异议的，以中文文本为准。供应商应在谈判小组发出澄清后 10 分钟内确认，超出时间不确认的其响应文件无效。</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谈判小组认为供应商的报价明显低于其他有效供应商报价的，有可能影响产品质量或者不能诚信履约的，应当要求其在谈判现场1小时内提供书面说明，必要时提交相关证明材料；供应商拒绝或者变相拒绝或在规定的时间内未提供有效书面说明或者书面说明不能证明其报价合理性的，谈判小组应当将其响应文件作为无效处理。供应商书面说明应当签字确认或者加盖公章(盖鲜章)，否则无效。</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推荐成交候选供应商。谈判小组复核后，应当按照经评审的供应商报价由低到高顺序推荐成交候选供应商，并编写谈判报告。供应商报价相同的，以注册地在少数民族地区的供应商优先，如遇报价相等的由谈判小组组织供应商抽签确定供应商顺序。</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（六）编写谈判报告。谈判小组推荐成交候选供应商后，出具谈判报告。谈判报告应当包括下列内容：</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邀请供应商参加采购活动的具体方式和相关情况，以及参加采购活动的供应商名单；</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评审日期和地点，谈判小组成员名单；</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评审情况记录和说明，包括对供应商的资格审查情况、供应商响应文件审查情况、谈判情况、报价情况等；</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（4）</w:t>
      </w:r>
      <w:r>
        <w:rPr>
          <w:rFonts w:hint="default" w:ascii="Times New Roman" w:hAnsi="Times New Roman" w:eastAsia="仿宋" w:cs="Times New Roman"/>
          <w:color w:val="000000" w:themeColor="text1"/>
          <w:sz w:val="32"/>
          <w:szCs w:val="32"/>
          <w14:textFill>
            <w14:solidFill>
              <w14:schemeClr w14:val="tx1"/>
            </w14:solidFill>
          </w14:textFill>
        </w:rPr>
        <w:t>推荐的成交候选人的名单及理由。</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（八）供应商澄清、说明</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2.谈判小组要求供应商澄清、说明或者更正响应文件，供应商的回复，通过纸质书面的形式进行。供应商的澄清、说明或者更正应当由法定代表人/负责人或其授权代表签字或者加盖公章。</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（九）终止谈判采购活动。</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出现下列情形之一的，采购人应当终止竞争性谈判采购活动，发布项目终止公告并说明原因，重新开展采购活动：</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因情况变化，不再符合规定的竞争性谈判采购方式适用情形的；</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出现影响采购公正的违法、违规行为的；</w:t>
      </w:r>
    </w:p>
    <w:p>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在采购过程中符合要求的供应商或者报价未超过采购预算的供应商不足3家的。 </w:t>
      </w:r>
    </w:p>
    <w:p>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三、谈判纪律及注意事项</w:t>
      </w:r>
    </w:p>
    <w:p>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40"/>
        <w:rPr>
          <w:rFonts w:hint="default" w:ascii="Times New Roman" w:hAnsi="Times New Roman" w:eastAsia="仿宋" w:cs="Times New Roman"/>
          <w:sz w:val="32"/>
          <w:szCs w:val="32"/>
        </w:rPr>
      </w:pPr>
      <w:r>
        <w:rPr>
          <w:rFonts w:hint="default" w:ascii="Times New Roman" w:hAnsi="Times New Roman" w:eastAsia="仿宋" w:cs="Times New Roman"/>
          <w:spacing w:val="-5"/>
          <w:sz w:val="32"/>
          <w:szCs w:val="32"/>
        </w:rPr>
        <w:t>1.谈判小组内部讨论的情况和意见必须保密，任何人不得以任何形式透露给供应商</w:t>
      </w:r>
      <w:r>
        <w:rPr>
          <w:rFonts w:hint="default" w:ascii="Times New Roman" w:hAnsi="Times New Roman" w:eastAsia="仿宋" w:cs="Times New Roman"/>
          <w:sz w:val="32"/>
          <w:szCs w:val="32"/>
        </w:rPr>
        <w:t>或与供应商有关的单位或个人。</w:t>
      </w:r>
    </w:p>
    <w:p>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24"/>
        <w:rPr>
          <w:rFonts w:hint="default" w:ascii="Times New Roman" w:hAnsi="Times New Roman" w:eastAsia="仿宋" w:cs="Times New Roman"/>
          <w:sz w:val="32"/>
          <w:szCs w:val="32"/>
        </w:rPr>
      </w:pPr>
      <w:r>
        <w:rPr>
          <w:rFonts w:hint="default" w:ascii="Times New Roman" w:hAnsi="Times New Roman" w:eastAsia="仿宋" w:cs="Times New Roman"/>
          <w:spacing w:val="-9"/>
          <w:sz w:val="32"/>
          <w:szCs w:val="32"/>
        </w:rPr>
        <w:t>2.在谈判过程中，供应商不得以任何形式对谈判小组成员进行旨在影响谈判结果的</w:t>
      </w:r>
      <w:r>
        <w:rPr>
          <w:rFonts w:hint="default" w:ascii="Times New Roman" w:hAnsi="Times New Roman" w:eastAsia="仿宋" w:cs="Times New Roman"/>
          <w:sz w:val="32"/>
          <w:szCs w:val="32"/>
        </w:rPr>
        <w:t>私下接触，否则将取消其参与谈判的资格。</w:t>
      </w:r>
    </w:p>
    <w:p>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3.对各供应商的商业秘密，谈判小组成员应予以保密，不得泄露给其他供应商。</w:t>
      </w:r>
    </w:p>
    <w:p>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4.谈判小组独立评判，推荐成交候选人，并写出书面报告。</w:t>
      </w:r>
    </w:p>
    <w:p>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四、确定成交供应商</w:t>
      </w:r>
    </w:p>
    <w:p>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在评审结束后，采购办根据谈判小组推荐的供应商顺序确定成交供应商。</w:t>
      </w:r>
    </w:p>
    <w:p>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五、成交公告</w:t>
      </w:r>
    </w:p>
    <w:p>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根据确定的成交供应商在医院官网公示不低于1个工作日。</w:t>
      </w:r>
    </w:p>
    <w:p>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六、成交通知书</w:t>
      </w:r>
    </w:p>
    <w:p>
      <w:pPr>
        <w:pStyle w:val="38"/>
        <w:pageBreakBefore w:val="0"/>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1.成交通知书为签订采购合同的依据之一，是合同的有效组成部分。公示期结束</w:t>
      </w:r>
      <w:r>
        <w:rPr>
          <w:rFonts w:hint="default" w:ascii="Times New Roman" w:hAnsi="Times New Roman" w:eastAsia="仿宋" w:cs="Times New Roman"/>
          <w:spacing w:val="-5"/>
          <w:sz w:val="32"/>
          <w:szCs w:val="32"/>
        </w:rPr>
        <w:t xml:space="preserve">后 </w:t>
      </w:r>
      <w:r>
        <w:rPr>
          <w:rFonts w:hint="default" w:ascii="Times New Roman" w:hAnsi="Times New Roman" w:eastAsia="仿宋" w:cs="Times New Roman"/>
          <w:sz w:val="32"/>
          <w:szCs w:val="32"/>
        </w:rPr>
        <w:t>2</w:t>
      </w:r>
      <w:r>
        <w:rPr>
          <w:rFonts w:hint="default" w:ascii="Times New Roman" w:hAnsi="Times New Roman" w:eastAsia="仿宋" w:cs="Times New Roman"/>
          <w:spacing w:val="-10"/>
          <w:sz w:val="32"/>
          <w:szCs w:val="32"/>
        </w:rPr>
        <w:t xml:space="preserve"> 个工作日内采购人</w:t>
      </w:r>
      <w:r>
        <w:rPr>
          <w:rFonts w:hint="default" w:ascii="Times New Roman" w:hAnsi="Times New Roman" w:eastAsia="仿宋" w:cs="Times New Roman"/>
          <w:sz w:val="32"/>
          <w:szCs w:val="32"/>
        </w:rPr>
        <w:t>向成交供应商发出成交通知书。</w:t>
      </w:r>
    </w:p>
    <w:p>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8"/>
        <w:rPr>
          <w:rFonts w:hint="default" w:ascii="Times New Roman" w:hAnsi="Times New Roman" w:eastAsia="仿宋" w:cs="Times New Roman"/>
          <w:sz w:val="32"/>
          <w:szCs w:val="32"/>
        </w:rPr>
      </w:pPr>
      <w:r>
        <w:rPr>
          <w:rFonts w:hint="default" w:ascii="Times New Roman" w:hAnsi="Times New Roman" w:eastAsia="仿宋" w:cs="Times New Roman"/>
          <w:spacing w:val="-3"/>
          <w:sz w:val="32"/>
          <w:szCs w:val="32"/>
        </w:rPr>
        <w:t>2.成交通知书将作为签订合同的依据。成交通知书对采购人和成交供应商均具有法</w:t>
      </w:r>
      <w:r>
        <w:rPr>
          <w:rFonts w:hint="default" w:ascii="Times New Roman" w:hAnsi="Times New Roman" w:eastAsia="仿宋" w:cs="Times New Roman"/>
          <w:spacing w:val="-6"/>
          <w:sz w:val="32"/>
          <w:szCs w:val="32"/>
        </w:rPr>
        <w:t>律效力。成交通知书发出后，采购人改变成交结果或成交供应商无正当理由放弃成交项目</w:t>
      </w:r>
      <w:r>
        <w:rPr>
          <w:rFonts w:hint="default" w:ascii="Times New Roman" w:hAnsi="Times New Roman" w:eastAsia="仿宋" w:cs="Times New Roman"/>
          <w:sz w:val="32"/>
          <w:szCs w:val="32"/>
        </w:rPr>
        <w:t>的，应当依法承担相关责任。</w:t>
      </w:r>
    </w:p>
    <w:p>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3.采购人不对成交或未成交原因作出解释，也不退还响应文件。</w:t>
      </w:r>
    </w:p>
    <w:p>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七、谈判小组在采购活动中承担</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的</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义务</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1.遵守评审工作纪律；</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pacing w:val="-12"/>
          <w:sz w:val="32"/>
          <w:szCs w:val="32"/>
        </w:rPr>
        <w:t>按照客观、公正、审慎的原则，根据谈判文件规定的评审程序、评审方法和评</w:t>
      </w:r>
      <w:r>
        <w:rPr>
          <w:rFonts w:hint="default" w:ascii="Times New Roman" w:hAnsi="Times New Roman" w:eastAsia="仿宋" w:cs="Times New Roman"/>
          <w:sz w:val="32"/>
          <w:szCs w:val="32"/>
        </w:rPr>
        <w:t>审标准进行独立评审；</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3.不得泄露评审文件、评审情况和在评审过程中获悉的商业秘密；</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r>
        <w:rPr>
          <w:rFonts w:hint="default" w:ascii="Times New Roman" w:hAnsi="Times New Roman" w:eastAsia="仿宋" w:cs="Times New Roman"/>
          <w:spacing w:val="-3"/>
          <w:sz w:val="32"/>
          <w:szCs w:val="32"/>
        </w:rPr>
        <w:t>发现谈判文件内容违反国家有关强制性规定或者谈判文件存在歧义、重大缺陷</w:t>
      </w:r>
      <w:r>
        <w:rPr>
          <w:rFonts w:hint="default" w:ascii="Times New Roman" w:hAnsi="Times New Roman" w:eastAsia="仿宋" w:cs="Times New Roman"/>
          <w:sz w:val="32"/>
          <w:szCs w:val="32"/>
        </w:rPr>
        <w:t>导致评审工作无法进行时，停止评审并向采购人说明情况；</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5.法律、法规和规章规定的其他义务。</w:t>
      </w:r>
    </w:p>
    <w:p>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八</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、评审专家在采购活动中应当遵守</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的</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工作纪律</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pacing w:val="-8"/>
          <w:sz w:val="32"/>
          <w:szCs w:val="32"/>
        </w:rPr>
        <w:t>不得参加与自己有《中华人民共和国政府采购法实施条例》第九条规定的利害</w:t>
      </w:r>
      <w:r>
        <w:rPr>
          <w:rFonts w:hint="default" w:ascii="Times New Roman" w:hAnsi="Times New Roman" w:eastAsia="仿宋" w:cs="Times New Roman"/>
          <w:spacing w:val="-7"/>
          <w:sz w:val="32"/>
          <w:szCs w:val="32"/>
        </w:rPr>
        <w:t>关系的采购项目的评审活动。发现参加了与自己有利害关系的评审活动，须主动提出</w:t>
      </w:r>
      <w:r>
        <w:rPr>
          <w:rFonts w:hint="default" w:ascii="Times New Roman" w:hAnsi="Times New Roman" w:eastAsia="仿宋" w:cs="Times New Roman"/>
          <w:sz w:val="32"/>
          <w:szCs w:val="32"/>
        </w:rPr>
        <w:t>回避，退出评审；</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pacing w:val="-9"/>
          <w:sz w:val="32"/>
          <w:szCs w:val="32"/>
        </w:rPr>
        <w:t>评审过程中，不得发表影响评审公正的倾向性、歧视性言论，不得征询或者接</w:t>
      </w:r>
      <w:r>
        <w:rPr>
          <w:rFonts w:hint="default" w:ascii="Times New Roman" w:hAnsi="Times New Roman" w:eastAsia="仿宋" w:cs="Times New Roman"/>
          <w:spacing w:val="-12"/>
          <w:sz w:val="32"/>
          <w:szCs w:val="32"/>
        </w:rPr>
        <w:t>受采购人的倾向性意见，不得明示或暗示供应商在澄清时表达与其响应文件原义不同的意</w:t>
      </w:r>
      <w:r>
        <w:rPr>
          <w:rFonts w:hint="default" w:ascii="Times New Roman" w:hAnsi="Times New Roman" w:eastAsia="仿宋" w:cs="Times New Roman"/>
          <w:spacing w:val="-11"/>
          <w:sz w:val="32"/>
          <w:szCs w:val="32"/>
        </w:rPr>
        <w:t>见，不得以谈判文件没有规定的评审方法和标准作为评审的依据，不得修改或者细化评审</w:t>
      </w:r>
      <w:r>
        <w:rPr>
          <w:rFonts w:hint="default" w:ascii="Times New Roman" w:hAnsi="Times New Roman" w:eastAsia="仿宋" w:cs="Times New Roman"/>
          <w:spacing w:val="-12"/>
          <w:sz w:val="32"/>
          <w:szCs w:val="32"/>
        </w:rPr>
        <w:t>程序、评审方法、评审因素和评审标准，不得违规撰写评审意见，不得拒绝对自己的评审</w:t>
      </w:r>
      <w:bookmarkStart w:id="14" w:name="第六章__采购合同（样例）"/>
      <w:bookmarkEnd w:id="14"/>
      <w:r>
        <w:rPr>
          <w:rFonts w:hint="default" w:ascii="Times New Roman" w:hAnsi="Times New Roman" w:eastAsia="仿宋" w:cs="Times New Roman"/>
          <w:sz w:val="32"/>
          <w:szCs w:val="32"/>
        </w:rPr>
        <w:t>意见签字确认；</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r>
        <w:rPr>
          <w:rFonts w:hint="default" w:ascii="Times New Roman" w:hAnsi="Times New Roman" w:eastAsia="仿宋" w:cs="Times New Roman"/>
          <w:spacing w:val="-7"/>
          <w:sz w:val="32"/>
          <w:szCs w:val="32"/>
        </w:rPr>
        <w:t>在评审过程中和评审结束后，不得记录、复制或带走任何评审资料，不得向外</w:t>
      </w:r>
      <w:r>
        <w:rPr>
          <w:rFonts w:hint="default" w:ascii="Times New Roman" w:hAnsi="Times New Roman" w:eastAsia="仿宋" w:cs="Times New Roman"/>
          <w:sz w:val="32"/>
          <w:szCs w:val="32"/>
        </w:rPr>
        <w:t>界透露评审内容；</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4.评审现场接受现场监督人员的合法监督；</w:t>
      </w:r>
    </w:p>
    <w:p>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r>
        <w:rPr>
          <w:rFonts w:hint="default" w:ascii="Times New Roman" w:hAnsi="Times New Roman" w:eastAsia="仿宋" w:cs="Times New Roman"/>
          <w:spacing w:val="-7"/>
          <w:sz w:val="32"/>
          <w:szCs w:val="32"/>
        </w:rPr>
        <w:t>遵守有关廉洁自律规定，不得私下接触供应商，不得收受供应商及有关业务单</w:t>
      </w:r>
      <w:r>
        <w:rPr>
          <w:rFonts w:hint="default" w:ascii="Times New Roman" w:hAnsi="Times New Roman" w:eastAsia="仿宋" w:cs="Times New Roman"/>
          <w:sz w:val="32"/>
          <w:szCs w:val="32"/>
        </w:rPr>
        <w:t>位和个人的财物或好处。</w:t>
      </w:r>
      <w:bookmarkStart w:id="15" w:name="_bookmark5"/>
      <w:bookmarkEnd w:id="15"/>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br w:type="page"/>
      </w:r>
    </w:p>
    <w:p>
      <w:pPr>
        <w:pStyle w:val="19"/>
        <w:pageBreakBefore w:val="0"/>
        <w:numPr>
          <w:ilvl w:val="0"/>
          <w:numId w:val="2"/>
        </w:numPr>
        <w:kinsoku/>
        <w:wordWrap/>
        <w:overflowPunct/>
        <w:topLinePunct w:val="0"/>
        <w:bidi w:val="0"/>
        <w:adjustRightInd/>
        <w:spacing w:before="95" w:beforeLines="30" w:after="0" w:line="578" w:lineRule="exact"/>
        <w:ind w:left="0" w:leftChars="0" w:right="0"/>
        <w:rPr>
          <w:rFonts w:hint="default"/>
        </w:rPr>
      </w:pPr>
      <w:bookmarkStart w:id="16" w:name="_Toc28294"/>
      <w:r>
        <w:rPr>
          <w:rFonts w:hint="default"/>
        </w:rPr>
        <w:t>采购项目需求（实质性要求）</w:t>
      </w:r>
      <w:bookmarkEnd w:id="16"/>
    </w:p>
    <w:p>
      <w:pPr>
        <w:pageBreakBefore w:val="0"/>
        <w:kinsoku/>
        <w:wordWrap/>
        <w:overflowPunct/>
        <w:topLinePunct w:val="0"/>
        <w:bidi w:val="0"/>
        <w:adjustRightInd/>
        <w:spacing w:before="95" w:beforeLines="30" w:line="578" w:lineRule="exact"/>
        <w:ind w:left="0" w:leftChars="0" w:right="0"/>
        <w:jc w:val="left"/>
        <w:rPr>
          <w:rFonts w:hint="default"/>
        </w:rPr>
      </w:pPr>
    </w:p>
    <w:p>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highlight w:val="none"/>
          <w14:textFill>
            <w14:solidFill>
              <w14:schemeClr w14:val="tx1"/>
            </w14:solidFill>
          </w14:textFill>
        </w:rPr>
      </w:pPr>
      <w:bookmarkStart w:id="17" w:name="_Toc11429"/>
      <w:r>
        <w:rPr>
          <w:rFonts w:hint="eastAsia" w:ascii="黑体" w:hAnsi="黑体" w:eastAsia="黑体" w:cs="黑体"/>
          <w:color w:val="000000" w:themeColor="text1"/>
          <w:sz w:val="32"/>
          <w:szCs w:val="32"/>
          <w:highlight w:val="none"/>
          <w:lang w:val="zh-CN"/>
          <w14:textFill>
            <w14:solidFill>
              <w14:schemeClr w14:val="tx1"/>
            </w14:solidFill>
          </w14:textFill>
        </w:rPr>
        <w:t>一、项目名称：</w:t>
      </w:r>
      <w:bookmarkEnd w:id="17"/>
      <w:bookmarkStart w:id="18" w:name="_Toc30531"/>
      <w:r>
        <w:rPr>
          <w:rFonts w:hint="default" w:ascii="Times New Roman" w:hAnsi="Times New Roman" w:eastAsia="仿宋" w:cs="Times New Roman"/>
          <w:color w:val="000000" w:themeColor="text1"/>
          <w:sz w:val="32"/>
          <w:szCs w:val="32"/>
          <w:highlight w:val="none"/>
          <w14:textFill>
            <w14:solidFill>
              <w14:schemeClr w14:val="tx1"/>
            </w14:solidFill>
          </w14:textFill>
        </w:rPr>
        <w:t>新院区连廊地坪、防护定制项目项目</w:t>
      </w:r>
    </w:p>
    <w:p>
      <w:pPr>
        <w:pageBreakBefore w:val="0"/>
        <w:kinsoku/>
        <w:wordWrap/>
        <w:overflowPunct/>
        <w:topLinePunct w:val="0"/>
        <w:bidi w:val="0"/>
        <w:adjustRightInd/>
        <w:spacing w:before="95" w:beforeLines="30" w:line="578" w:lineRule="exact"/>
        <w:ind w:left="0" w:leftChars="0" w:right="0"/>
        <w:jc w:val="left"/>
        <w:rPr>
          <w:rFonts w:hint="default" w:ascii="黑体" w:hAnsi="黑体" w:eastAsia="黑体" w:cs="黑体"/>
          <w:color w:val="000000" w:themeColor="text1"/>
          <w:sz w:val="32"/>
          <w:szCs w:val="32"/>
          <w:highlight w:val="none"/>
          <w:lang w:val="zh-CN"/>
          <w14:textFill>
            <w14:solidFill>
              <w14:schemeClr w14:val="tx1"/>
            </w14:solidFill>
          </w14:textFill>
        </w:rPr>
      </w:pPr>
      <w:r>
        <w:rPr>
          <w:rFonts w:hint="default" w:ascii="黑体" w:hAnsi="黑体" w:eastAsia="黑体" w:cs="黑体"/>
          <w:color w:val="000000" w:themeColor="text1"/>
          <w:sz w:val="32"/>
          <w:szCs w:val="32"/>
          <w:highlight w:val="none"/>
          <w:lang w:val="zh-CN"/>
          <w14:textFill>
            <w14:solidFill>
              <w14:schemeClr w14:val="tx1"/>
            </w14:solidFill>
          </w14:textFill>
        </w:rPr>
        <w:t>二、</w:t>
      </w:r>
      <w:bookmarkEnd w:id="18"/>
      <w:r>
        <w:rPr>
          <w:rFonts w:hint="default" w:ascii="黑体" w:hAnsi="黑体" w:eastAsia="黑体" w:cs="黑体"/>
          <w:color w:val="000000" w:themeColor="text1"/>
          <w:sz w:val="32"/>
          <w:szCs w:val="32"/>
          <w:highlight w:val="none"/>
          <w:lang w:val="zh-CN"/>
          <w14:textFill>
            <w14:solidFill>
              <w14:schemeClr w14:val="tx1"/>
            </w14:solidFill>
          </w14:textFill>
        </w:rPr>
        <w:t>新院区连廊地坪、防护定制项目要求：</w:t>
      </w:r>
    </w:p>
    <w:p>
      <w:pPr>
        <w:pageBreakBefore w:val="0"/>
        <w:kinsoku/>
        <w:wordWrap/>
        <w:overflowPunct/>
        <w:topLinePunct w:val="0"/>
        <w:bidi w:val="0"/>
        <w:adjustRightInd/>
        <w:snapToGrid w:val="0"/>
        <w:spacing w:before="95" w:beforeLines="30" w:line="578" w:lineRule="exact"/>
        <w:ind w:left="0" w:leftChars="0" w:right="0" w:firstLine="643" w:firstLineChars="200"/>
        <w:rPr>
          <w:rFonts w:hint="default" w:ascii="Times New Roman" w:hAnsi="Times New Roman" w:eastAsia="仿宋" w:cs="Times New Roman"/>
          <w:b/>
          <w:bCs/>
          <w:sz w:val="32"/>
          <w:szCs w:val="32"/>
          <w:highlight w:val="none"/>
        </w:rPr>
      </w:pPr>
      <w:r>
        <w:rPr>
          <w:rFonts w:hint="default" w:ascii="Times New Roman" w:hAnsi="Times New Roman" w:eastAsia="仿宋" w:cs="Times New Roman"/>
          <w:b/>
          <w:bCs/>
          <w:sz w:val="32"/>
          <w:szCs w:val="32"/>
          <w:highlight w:val="none"/>
        </w:rPr>
        <w:t>1、项目内容及预算：</w:t>
      </w:r>
    </w:p>
    <w:tbl>
      <w:tblPr>
        <w:tblStyle w:val="21"/>
        <w:tblW w:w="8040" w:type="dxa"/>
        <w:tblInd w:w="124" w:type="dxa"/>
        <w:tblLayout w:type="fixed"/>
        <w:tblCellMar>
          <w:top w:w="0" w:type="dxa"/>
          <w:left w:w="108" w:type="dxa"/>
          <w:bottom w:w="0" w:type="dxa"/>
          <w:right w:w="108" w:type="dxa"/>
        </w:tblCellMar>
      </w:tblPr>
      <w:tblGrid>
        <w:gridCol w:w="1395"/>
        <w:gridCol w:w="735"/>
        <w:gridCol w:w="780"/>
        <w:gridCol w:w="795"/>
        <w:gridCol w:w="855"/>
        <w:gridCol w:w="1155"/>
        <w:gridCol w:w="960"/>
        <w:gridCol w:w="1365"/>
      </w:tblGrid>
      <w:tr>
        <w:tblPrEx>
          <w:tblCellMar>
            <w:top w:w="0" w:type="dxa"/>
            <w:left w:w="108" w:type="dxa"/>
            <w:bottom w:w="0" w:type="dxa"/>
            <w:right w:w="108" w:type="dxa"/>
          </w:tblCellMar>
        </w:tblPrEx>
        <w:trPr>
          <w:trHeight w:val="580"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名称</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长(m)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宽(m)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高(m)</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both"/>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数量</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面积</w:t>
            </w:r>
          </w:p>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lang w:val="en-US" w:eastAsia="zh-CN"/>
              </w:rPr>
            </w:pPr>
            <w:r>
              <w:rPr>
                <w:rFonts w:hint="default" w:ascii="Times New Roman" w:hAnsi="Times New Roman" w:eastAsia="仿宋" w:cs="Times New Roman"/>
                <w:color w:val="000000"/>
                <w:kern w:val="0"/>
                <w:sz w:val="28"/>
                <w:szCs w:val="28"/>
              </w:rPr>
              <w:t>单价</w:t>
            </w:r>
            <w:r>
              <w:rPr>
                <w:rFonts w:hint="eastAsia" w:ascii="Times New Roman" w:hAnsi="Times New Roman" w:eastAsia="仿宋" w:cs="Times New Roman"/>
                <w:color w:val="000000"/>
                <w:kern w:val="0"/>
                <w:sz w:val="28"/>
                <w:szCs w:val="28"/>
                <w:lang w:val="en-US" w:eastAsia="zh-CN"/>
              </w:rPr>
              <w:t>(元)</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金额</w:t>
            </w:r>
          </w:p>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lang w:val="en-US" w:eastAsia="zh-CN"/>
              </w:rPr>
              <w:t>(元)</w:t>
            </w:r>
          </w:p>
        </w:tc>
      </w:tr>
      <w:tr>
        <w:tblPrEx>
          <w:tblCellMar>
            <w:top w:w="0" w:type="dxa"/>
            <w:left w:w="108" w:type="dxa"/>
            <w:bottom w:w="0" w:type="dxa"/>
            <w:right w:w="108" w:type="dxa"/>
          </w:tblCellMar>
        </w:tblPrEx>
        <w:trPr>
          <w:trHeight w:val="762" w:hRule="atLeast"/>
        </w:trPr>
        <w:tc>
          <w:tcPr>
            <w:tcW w:w="139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地板地坪定制</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7.9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1927.6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48.00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92524.80 </w:t>
            </w:r>
          </w:p>
        </w:tc>
      </w:tr>
      <w:tr>
        <w:tblPrEx>
          <w:tblCellMar>
            <w:top w:w="0" w:type="dxa"/>
            <w:left w:w="108" w:type="dxa"/>
            <w:bottom w:w="0" w:type="dxa"/>
            <w:right w:w="108" w:type="dxa"/>
          </w:tblCellMar>
        </w:tblPrEx>
        <w:trPr>
          <w:trHeight w:val="462" w:hRule="atLeast"/>
        </w:trPr>
        <w:tc>
          <w:tcPr>
            <w:tcW w:w="139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eastAsia"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eastAsia"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rightChars="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rightChars="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720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rightChars="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48.00</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rightChars="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34560.00</w:t>
            </w:r>
          </w:p>
        </w:tc>
      </w:tr>
      <w:tr>
        <w:tblPrEx>
          <w:tblCellMar>
            <w:top w:w="0" w:type="dxa"/>
            <w:left w:w="108" w:type="dxa"/>
            <w:bottom w:w="0" w:type="dxa"/>
            <w:right w:w="108" w:type="dxa"/>
          </w:tblCellMar>
        </w:tblPrEx>
        <w:trPr>
          <w:trHeight w:val="557"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过道防护栏制作、安装</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38.5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1.25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385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85.00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32725.00 </w:t>
            </w:r>
          </w:p>
        </w:tc>
      </w:tr>
    </w:tbl>
    <w:p>
      <w:pPr>
        <w:pageBreakBefore w:val="0"/>
        <w:numPr>
          <w:ilvl w:val="0"/>
          <w:numId w:val="0"/>
        </w:numPr>
        <w:kinsoku/>
        <w:wordWrap/>
        <w:overflowPunct/>
        <w:topLinePunct w:val="0"/>
        <w:bidi w:val="0"/>
        <w:adjustRightInd/>
        <w:snapToGrid w:val="0"/>
        <w:spacing w:before="95" w:beforeLines="30" w:line="578" w:lineRule="exact"/>
        <w:ind w:left="0" w:leftChars="0" w:right="0" w:firstLine="643" w:firstLineChars="200"/>
        <w:rPr>
          <w:rFonts w:hint="default" w:ascii="Times New Roman" w:hAnsi="Times New Roman" w:eastAsia="仿宋" w:cs="Times New Roman"/>
          <w:b/>
          <w:bCs/>
          <w:sz w:val="32"/>
          <w:szCs w:val="32"/>
          <w:highlight w:val="none"/>
        </w:rPr>
      </w:pPr>
      <w:r>
        <w:rPr>
          <w:rFonts w:hint="default" w:ascii="Times New Roman" w:hAnsi="Times New Roman" w:eastAsia="仿宋" w:cs="Times New Roman"/>
          <w:b/>
          <w:bCs/>
          <w:kern w:val="2"/>
          <w:sz w:val="32"/>
          <w:szCs w:val="32"/>
          <w:lang w:val="en-US" w:eastAsia="zh-CN" w:bidi="ar-SA"/>
        </w:rPr>
        <w:t>2、</w:t>
      </w:r>
      <w:r>
        <w:rPr>
          <w:rFonts w:hint="default" w:ascii="Times New Roman" w:hAnsi="Times New Roman" w:eastAsia="仿宋" w:cs="Times New Roman"/>
          <w:b/>
          <w:bCs/>
          <w:sz w:val="32"/>
          <w:szCs w:val="32"/>
          <w:highlight w:val="none"/>
        </w:rPr>
        <w:t>项目技术要求：</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lang w:val="en-US" w:eastAsia="zh-CN"/>
        </w:rPr>
        <w:t>1</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地板地坪定制：环氧树脂：一次底漆0.5MM、两次中涂1MM、一次面漆0.5MM，竣工厚度为2MM；浅蓝色，环保无味；</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lang w:val="en-US" w:eastAsia="zh-CN"/>
        </w:rPr>
      </w:pP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lang w:val="en-US" w:eastAsia="zh-CN"/>
        </w:rPr>
        <w:t>2</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过道防护栏制作、安装：热镀锌全钢防护栏8CM棱形孔</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直径2MM粗+龙骨架40*60镀锌矩管焊接。</w:t>
      </w:r>
      <w:r>
        <w:rPr>
          <w:rFonts w:hint="default" w:ascii="Times New Roman" w:hAnsi="Times New Roman" w:eastAsia="仿宋" w:cs="Times New Roman"/>
          <w:sz w:val="32"/>
          <w:szCs w:val="32"/>
          <w:highlight w:val="none"/>
          <w:lang w:eastAsia="zh-CN"/>
        </w:rPr>
        <w:t>按采购人要求安装完成。</w:t>
      </w:r>
    </w:p>
    <w:p>
      <w:pPr>
        <w:pageBreakBefore w:val="0"/>
        <w:numPr>
          <w:ilvl w:val="0"/>
          <w:numId w:val="0"/>
        </w:numPr>
        <w:kinsoku/>
        <w:wordWrap/>
        <w:overflowPunct/>
        <w:topLinePunct w:val="0"/>
        <w:bidi w:val="0"/>
        <w:adjustRightInd/>
        <w:snapToGrid w:val="0"/>
        <w:spacing w:before="95" w:beforeLines="30" w:line="578" w:lineRule="exact"/>
        <w:ind w:left="0" w:leftChars="0" w:right="0" w:firstLine="643" w:firstLineChars="200"/>
        <w:rPr>
          <w:rFonts w:hint="default" w:ascii="Times New Roman" w:hAnsi="Times New Roman" w:eastAsia="仿宋" w:cs="Times New Roman"/>
          <w:b/>
          <w:bCs/>
          <w:sz w:val="32"/>
          <w:szCs w:val="32"/>
          <w:highlight w:val="none"/>
          <w:lang w:val="zh-CN" w:eastAsia="zh-CN"/>
        </w:rPr>
      </w:pPr>
      <w:r>
        <w:rPr>
          <w:rFonts w:hint="default" w:ascii="Times New Roman" w:hAnsi="Times New Roman" w:eastAsia="仿宋" w:cs="Times New Roman"/>
          <w:b/>
          <w:bCs/>
          <w:kern w:val="2"/>
          <w:sz w:val="32"/>
          <w:szCs w:val="32"/>
          <w:lang w:val="zh-CN" w:eastAsia="zh-CN" w:bidi="ar-SA"/>
        </w:rPr>
        <w:t>3、</w:t>
      </w:r>
      <w:r>
        <w:rPr>
          <w:rFonts w:hint="default" w:ascii="Times New Roman" w:hAnsi="Times New Roman" w:eastAsia="仿宋" w:cs="Times New Roman"/>
          <w:b/>
          <w:bCs/>
          <w:sz w:val="32"/>
          <w:szCs w:val="32"/>
          <w:highlight w:val="none"/>
          <w:lang w:val="zh-CN" w:eastAsia="zh-CN"/>
        </w:rPr>
        <w:t>商务要求</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1、合同履约地点：万源市中心医院三乙医院项目内。</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2、合同履行期限：自合同签订之日起10日。</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kern w:val="0"/>
          <w:sz w:val="32"/>
          <w:szCs w:val="32"/>
          <w:highlight w:val="none"/>
        </w:rPr>
        <w:t>3、报价要求：供应商报价应是项目全部工作内容的价格体现，包括：差旅费、人工费等各项费用。供应商应根据本项目的实际情况与自身现实情况，并充分考虑不确定性因素可能导致的风险自行报价。若因供应商原因造成的漏报、错报而导致重复工作成本，由供应商负责，采购人不承担任何费用。</w:t>
      </w:r>
    </w:p>
    <w:p>
      <w:pPr>
        <w:pStyle w:val="8"/>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4、付款方式：</w:t>
      </w:r>
      <w:bookmarkStart w:id="19" w:name="第六章_申请文件格式"/>
      <w:bookmarkEnd w:id="19"/>
      <w:r>
        <w:rPr>
          <w:rFonts w:hint="default" w:ascii="Times New Roman" w:hAnsi="Times New Roman" w:eastAsia="仿宋" w:cs="Times New Roman"/>
          <w:kern w:val="0"/>
          <w:sz w:val="32"/>
          <w:szCs w:val="32"/>
          <w:highlight w:val="none"/>
        </w:rPr>
        <w:t>经验收合格后，达到付款条件30日内，一次性付清，(必须提供合法有效的票据)。</w:t>
      </w:r>
    </w:p>
    <w:p>
      <w:pPr>
        <w:pStyle w:val="20"/>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5、违约责任与解决争议的方法：合同履行期间,若双方发生争议，可协商、调解解决，协商或调解不成的，任何一方均可向采购人所在地人民法院提起诉讼。</w:t>
      </w:r>
    </w:p>
    <w:p>
      <w:pPr>
        <w:pStyle w:val="20"/>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6、合同履行过程中的安全问题：乙方在向甲方提供维保服务期间，包括乙方人员施工期间出现的人员安全问题，由乙方原因造成的安全问题由乙方承担相应责任。</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7、其他未尽事宜采购人与供应商合同约定。</w:t>
      </w:r>
    </w:p>
    <w:p>
      <w:pPr>
        <w:pageBreakBefore w:val="0"/>
        <w:kinsoku/>
        <w:wordWrap/>
        <w:overflowPunct/>
        <w:topLinePunct w:val="0"/>
        <w:bidi w:val="0"/>
        <w:adjustRightInd/>
        <w:spacing w:before="95" w:beforeLines="30" w:line="578" w:lineRule="exact"/>
        <w:ind w:left="0" w:leftChars="0" w:right="0"/>
        <w:rPr>
          <w:rFonts w:hint="eastAsia" w:ascii="Times New Roman" w:hAnsi="Times New Roman" w:eastAsia="仿宋" w:cs="Times New Roman"/>
          <w:b/>
          <w:bCs/>
          <w:sz w:val="32"/>
          <w:szCs w:val="32"/>
          <w:lang w:eastAsia="zh-CN"/>
        </w:rPr>
      </w:pPr>
      <w:r>
        <w:rPr>
          <w:rFonts w:hint="eastAsia" w:ascii="Times New Roman" w:hAnsi="Times New Roman" w:eastAsia="仿宋" w:cs="Times New Roman"/>
          <w:b/>
          <w:bCs/>
          <w:sz w:val="32"/>
          <w:szCs w:val="32"/>
          <w:lang w:eastAsia="zh-CN"/>
        </w:rPr>
        <w:t>注：本项目采购需求不允许负偏离，技术参数及商务应答表有负偏离视为无效响应。</w:t>
      </w: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pPr>
        <w:pStyle w:val="19"/>
        <w:pageBreakBefore w:val="0"/>
        <w:kinsoku/>
        <w:wordWrap/>
        <w:overflowPunct/>
        <w:topLinePunct w:val="0"/>
        <w:bidi w:val="0"/>
        <w:adjustRightInd/>
        <w:spacing w:before="95" w:beforeLines="30" w:after="0" w:line="578" w:lineRule="exact"/>
        <w:ind w:left="0" w:leftChars="0" w:right="0"/>
        <w:rPr>
          <w:rFonts w:hint="default"/>
        </w:rPr>
      </w:pPr>
      <w:bookmarkStart w:id="20" w:name="_Toc32503"/>
      <w:r>
        <w:rPr>
          <w:rFonts w:hint="default"/>
        </w:rPr>
        <w:t>第五章 谈判响应文件格式</w:t>
      </w:r>
      <w:bookmarkEnd w:id="20"/>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本章所制响应文件格式，除格式中明确将该格式作为实质性要求的，一律不具有强制性，供应商可根据项目要求自行修改。</w:t>
      </w: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Style w:val="54"/>
          <w:rFonts w:hint="eastAsia" w:ascii="方正小标宋简体" w:hAnsi="方正小标宋简体" w:eastAsia="方正小标宋简体" w:cs="方正小标宋简体"/>
          <w:b w:val="0"/>
          <w:bCs w:val="0"/>
          <w:sz w:val="36"/>
          <w:szCs w:val="36"/>
          <w:lang w:val="en-US" w:eastAsia="zh-CN"/>
        </w:rPr>
      </w:pPr>
      <w:bookmarkStart w:id="21" w:name="_Toc15866"/>
      <w:bookmarkStart w:id="22" w:name="_Toc1093"/>
      <w:bookmarkStart w:id="23" w:name="_Toc17952"/>
      <w:r>
        <w:rPr>
          <w:rFonts w:hint="eastAsia" w:ascii="方正小标宋简体" w:hAnsi="方正小标宋简体" w:eastAsia="方正小标宋简体" w:cs="方正小标宋简体"/>
          <w:b w:val="0"/>
          <w:bCs w:val="0"/>
          <w:kern w:val="2"/>
          <w:sz w:val="36"/>
          <w:szCs w:val="36"/>
          <w:lang w:val="en-US" w:eastAsia="zh-CN" w:bidi="ar-SA"/>
        </w:rPr>
        <w:t>一、</w:t>
      </w:r>
      <w:r>
        <w:rPr>
          <w:rFonts w:hint="eastAsia" w:ascii="方正小标宋简体" w:hAnsi="方正小标宋简体" w:eastAsia="方正小标宋简体" w:cs="方正小标宋简体"/>
          <w:b w:val="0"/>
          <w:bCs w:val="0"/>
          <w:sz w:val="36"/>
          <w:szCs w:val="36"/>
          <w:lang w:eastAsia="zh-CN"/>
        </w:rPr>
        <w:t>谈判响应</w:t>
      </w:r>
      <w:r>
        <w:rPr>
          <w:rFonts w:hint="eastAsia" w:ascii="方正小标宋简体" w:hAnsi="方正小标宋简体" w:eastAsia="方正小标宋简体" w:cs="方正小标宋简体"/>
          <w:b w:val="0"/>
          <w:bCs w:val="0"/>
          <w:sz w:val="36"/>
          <w:szCs w:val="36"/>
        </w:rPr>
        <w:t>函</w:t>
      </w:r>
      <w:r>
        <w:rPr>
          <w:rStyle w:val="54"/>
          <w:rFonts w:hint="eastAsia" w:ascii="方正小标宋简体" w:hAnsi="方正小标宋简体" w:eastAsia="方正小标宋简体" w:cs="方正小标宋简体"/>
          <w:b w:val="0"/>
          <w:bCs w:val="0"/>
          <w:sz w:val="36"/>
          <w:szCs w:val="36"/>
          <w:lang w:val="en-US" w:eastAsia="zh-CN"/>
        </w:rPr>
        <w:t>（格式）</w:t>
      </w:r>
      <w:bookmarkEnd w:id="21"/>
      <w:bookmarkEnd w:id="22"/>
    </w:p>
    <w:p>
      <w:pPr>
        <w:numPr>
          <w:ilvl w:val="0"/>
          <w:numId w:val="0"/>
        </w:numPr>
        <w:rPr>
          <w:rFonts w:hint="default"/>
        </w:rPr>
      </w:pPr>
    </w:p>
    <w:p>
      <w:pPr>
        <w:pageBreakBefore w:val="0"/>
        <w:kinsoku/>
        <w:wordWrap/>
        <w:overflowPunct/>
        <w:topLinePunct w:val="0"/>
        <w:bidi w:val="0"/>
        <w:adjustRightInd/>
        <w:snapToGrid w:val="0"/>
        <w:spacing w:before="95" w:beforeLines="30" w:line="578" w:lineRule="exact"/>
        <w:ind w:left="0" w:leftChars="0" w:right="0"/>
        <w:jc w:val="left"/>
        <w:rPr>
          <w:rFonts w:hint="default"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采购人</w:t>
      </w:r>
      <w:r>
        <w:rPr>
          <w:rFonts w:hint="default" w:ascii="Times New Roman" w:hAnsi="Times New Roman" w:eastAsia="仿宋" w:cs="Times New Roman"/>
          <w:color w:val="000000" w:themeColor="text1"/>
          <w:sz w:val="32"/>
          <w:szCs w:val="32"/>
          <w:u w:val="single"/>
          <w14:textFill>
            <w14:solidFill>
              <w14:schemeClr w14:val="tx1"/>
            </w14:solidFill>
          </w14:textFill>
        </w:rPr>
        <w:t>）</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1.在研究了</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（项目名称）</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文件后，我们愿意按该项目</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文件的要求履行，并作为自己的义务和责任。</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2.如果</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人接受我们的</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，我们将保证按</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文件的要求，承担</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文件要求的所有内容。</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3.我们同意在规定的</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有效期内严格遵守本</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文件的各项承诺。在此期限届满之前，本</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文件始终对我方具有约束力，并随时接受中选。</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4.在合作协议书正式签署生效之前，本</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文件连同</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人的中选通知书构成我们双方之间共同遵守的文件，对双方具有约束力。</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5.我们理解</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人不一定接受到任何</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人的</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，同时也理解</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人不负担</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人的任何费用。</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6.我们已经详细审核了全部</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文件，包括修改及补充的文件（如果有）和参考资料以及有关附件，我们完全理解并同意放弃对这方面有不明及误解的权利。</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7.我方所提交的</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文件已充分考虑了各种因素对报价的影响，我方承诺中选后</w:t>
      </w:r>
      <w:r>
        <w:rPr>
          <w:rFonts w:hint="default" w:ascii="Times New Roman" w:hAnsi="Times New Roman" w:eastAsia="仿宋" w:cs="Times New Roman"/>
          <w:color w:val="000000" w:themeColor="text1"/>
          <w:sz w:val="32"/>
          <w:szCs w:val="32"/>
          <w:lang w:eastAsia="zh-CN"/>
          <w14:textFill>
            <w14:solidFill>
              <w14:schemeClr w14:val="tx1"/>
            </w14:solidFill>
          </w14:textFill>
        </w:rPr>
        <w:t>谈判最后</w:t>
      </w:r>
      <w:r>
        <w:rPr>
          <w:rFonts w:hint="default" w:ascii="Times New Roman" w:hAnsi="Times New Roman" w:eastAsia="仿宋" w:cs="Times New Roman"/>
          <w:color w:val="000000" w:themeColor="text1"/>
          <w:sz w:val="32"/>
          <w:szCs w:val="32"/>
          <w14:textFill>
            <w14:solidFill>
              <w14:schemeClr w14:val="tx1"/>
            </w14:solidFill>
          </w14:textFill>
        </w:rPr>
        <w:t>报价作为合同价不再调整。</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8.我方承诺：</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文件有效期为从递交</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文件的截止日期起</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日历天。</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（盖单位公章）</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法定代表人或委托代理人：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（签字）</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日期：</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pPr>
        <w:rPr>
          <w:rFonts w:hint="default" w:ascii="Times New Roman" w:hAnsi="Times New Roman" w:eastAsia="仿宋" w:cs="Times New Roman"/>
          <w:sz w:val="32"/>
          <w:szCs w:val="32"/>
          <w:lang w:val="en-US" w:eastAsia="zh-CN"/>
        </w:rPr>
      </w:pPr>
      <w:bookmarkStart w:id="24" w:name="_Toc13228"/>
      <w:r>
        <w:rPr>
          <w:rFonts w:hint="default" w:ascii="Times New Roman" w:hAnsi="Times New Roman" w:eastAsia="仿宋" w:cs="Times New Roman"/>
          <w:sz w:val="32"/>
          <w:szCs w:val="32"/>
          <w:lang w:val="en-US" w:eastAsia="zh-CN"/>
        </w:rPr>
        <w:br w:type="page"/>
      </w:r>
    </w:p>
    <w:p>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Fonts w:hint="default"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kern w:val="2"/>
          <w:sz w:val="36"/>
          <w:szCs w:val="36"/>
          <w:lang w:val="en-US" w:eastAsia="zh-CN" w:bidi="ar-SA"/>
        </w:rPr>
        <w:t>二、</w:t>
      </w:r>
      <w:r>
        <w:rPr>
          <w:rFonts w:hint="default" w:ascii="方正小标宋简体" w:hAnsi="方正小标宋简体" w:eastAsia="方正小标宋简体" w:cs="方正小标宋简体"/>
          <w:b w:val="0"/>
          <w:bCs w:val="0"/>
          <w:sz w:val="36"/>
          <w:szCs w:val="36"/>
          <w:lang w:val="en-US" w:eastAsia="zh-CN"/>
        </w:rPr>
        <w:t>承诺函（格式）</w:t>
      </w:r>
      <w:bookmarkEnd w:id="23"/>
      <w:bookmarkEnd w:id="24"/>
    </w:p>
    <w:p>
      <w:pPr>
        <w:rPr>
          <w:rFonts w:hint="default"/>
          <w:lang w:eastAsia="zh-CN"/>
        </w:rPr>
      </w:pPr>
    </w:p>
    <w:p>
      <w:pPr>
        <w:pageBreakBefore w:val="0"/>
        <w:kinsoku/>
        <w:wordWrap/>
        <w:overflowPunct/>
        <w:topLinePunct w:val="0"/>
        <w:bidi w:val="0"/>
        <w:adjustRightInd/>
        <w:snapToGrid w:val="0"/>
        <w:spacing w:before="95" w:beforeLines="30" w:line="578" w:lineRule="exact"/>
        <w:ind w:left="0" w:leftChars="0" w:right="0"/>
        <w:jc w:val="left"/>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u w:val="none"/>
          <w:lang w:val="en-US" w:eastAsia="zh-CN"/>
          <w14:textFill>
            <w14:solidFill>
              <w14:schemeClr w14:val="tx1"/>
            </w14:solidFill>
          </w14:textFill>
        </w:rPr>
        <w:t>致：</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（采购人）: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我公司作为本次采购项目的谈判响应人，根据必须按文件文件要求，现郑重承诺如下：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一、具备《中华人民共和国政府采购法》和本项目规定的条件：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（一）具有独立承担民事责任的能力；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（二）具有良好的商业信誉；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（三）具有履行合同所必需的设备和专业技术能力；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（四）有依法缴纳税收和社会保障资金的良好记录；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（五）参加采购活动前三年内，在经营活动中没有重大违法记录；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（六）法律、行政法规规定的其他条件；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（七）根据采购项目提出的特殊条件。</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1.本项目不属于联合体参加；</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2.本项目不进行合同分包；</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二、完全接受和满足本项目谈判文件中规定的实质性要求，如对谈判文件有异议，已经在谈判响应截止时间届满前依法进行维权救济，不存在对谈判文件有异议的同时又参加谈判以求侥幸中标或者为实现其他非法目的的行为。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四、参加本次谈判采购活动，不存在和其他供应商在同一合同项下的采购项目中，同时委托同一个自然人、同一家庭的人员、同一单位的人员作为代理人的行为。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五、如果有《四川省政府采购当事人诚信管理办法》（川财采[2015]33 号）规定的记入诚信档案的失信行为，将在谈判响应文件中全面如实反映。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六、谈判文件中提供的能够给予我公司带来优惠、好处的任何材料资料和技术、服务、商务等响应承诺情况都是真实的、有效的、合法的。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w:t>
      </w:r>
    </w:p>
    <w:p>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（盖单位公章）</w:t>
      </w:r>
    </w:p>
    <w:p>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法定代表人或委托代理人：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（签字）</w:t>
      </w:r>
    </w:p>
    <w:p>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日期：</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pPr>
        <w:pageBreakBefore w:val="0"/>
        <w:numPr>
          <w:ilvl w:val="0"/>
          <w:numId w:val="0"/>
        </w:numPr>
        <w:kinsoku/>
        <w:wordWrap/>
        <w:overflowPunct/>
        <w:topLinePunct w:val="0"/>
        <w:bidi w:val="0"/>
        <w:adjustRightInd/>
        <w:spacing w:before="95" w:beforeLines="30" w:line="578" w:lineRule="exact"/>
        <w:ind w:left="0" w:leftChars="0" w:right="0"/>
        <w:jc w:val="center"/>
        <w:rPr>
          <w:rStyle w:val="54"/>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br w:type="page"/>
      </w:r>
      <w:bookmarkStart w:id="25" w:name="_Toc21776"/>
      <w:bookmarkStart w:id="26" w:name="_Toc32239"/>
      <w:r>
        <w:rPr>
          <w:rFonts w:hint="default" w:ascii="方正小标宋简体" w:hAnsi="方正小标宋简体" w:eastAsia="方正小标宋简体" w:cs="方正小标宋简体"/>
          <w:b w:val="0"/>
          <w:bCs w:val="0"/>
          <w:kern w:val="2"/>
          <w:sz w:val="36"/>
          <w:szCs w:val="36"/>
          <w:lang w:val="en-US" w:eastAsia="zh-CN" w:bidi="ar-SA"/>
        </w:rPr>
        <w:t>三、廉政承诺书（格式）</w:t>
      </w:r>
    </w:p>
    <w:bookmarkEnd w:id="25"/>
    <w:bookmarkEnd w:id="26"/>
    <w:p>
      <w:pPr>
        <w:pStyle w:val="2"/>
        <w:pageBreakBefore w:val="0"/>
        <w:numPr>
          <w:ilvl w:val="0"/>
          <w:numId w:val="0"/>
        </w:numPr>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lang w:val="en-US" w:eastAsia="zh-CN"/>
        </w:rPr>
      </w:pP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本公司参与“</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（采购项目）   </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”，采购项目编号：</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的谈判，现郑重承诺：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一、不以任何方式向项目采购人员、审批人员、监管及行业主管人员以及评审专家等行贿。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二、不以任何方式托人打招呼、求关照，搞利益结盟，腐蚀党和国家机关工作人员。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以上承诺如有违反，请严肃处理，欢迎监督举报！ </w:t>
      </w:r>
    </w:p>
    <w:p>
      <w:pPr>
        <w:pStyle w:val="2"/>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（盖单位公章）</w:t>
      </w:r>
    </w:p>
    <w:p>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法定代表人或委托代理人：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（签字）</w:t>
      </w:r>
    </w:p>
    <w:p>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日期：</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pPr>
        <w:pStyle w:val="4"/>
        <w:pageBreakBefore w:val="0"/>
        <w:numPr>
          <w:ilvl w:val="0"/>
          <w:numId w:val="3"/>
        </w:numPr>
        <w:kinsoku/>
        <w:wordWrap/>
        <w:overflowPunct/>
        <w:topLinePunct w:val="0"/>
        <w:bidi w:val="0"/>
        <w:adjustRightInd/>
        <w:spacing w:before="95" w:beforeLines="30" w:after="0" w:line="578" w:lineRule="exact"/>
        <w:ind w:left="0" w:leftChars="0" w:right="0" w:rightChars="0"/>
        <w:rPr>
          <w:rFonts w:hint="default" w:ascii="方正小标宋简体" w:hAnsi="方正小标宋简体" w:eastAsia="方正小标宋简体" w:cs="方正小标宋简体"/>
          <w:b w:val="0"/>
          <w:bCs w:val="0"/>
          <w:sz w:val="36"/>
          <w:szCs w:val="36"/>
          <w:lang w:val="en-US" w:eastAsia="zh-CN"/>
        </w:rPr>
      </w:pPr>
      <w:bookmarkStart w:id="27" w:name="_Toc4721"/>
      <w:bookmarkStart w:id="28" w:name="_Toc14859"/>
      <w:r>
        <w:rPr>
          <w:rFonts w:hint="default" w:ascii="方正小标宋简体" w:hAnsi="方正小标宋简体" w:eastAsia="方正小标宋简体" w:cs="方正小标宋简体"/>
          <w:b w:val="0"/>
          <w:bCs w:val="0"/>
          <w:sz w:val="36"/>
          <w:szCs w:val="36"/>
          <w:lang w:val="en-US" w:eastAsia="zh-CN"/>
        </w:rPr>
        <w:t>资格证明材料清单</w:t>
      </w:r>
      <w:bookmarkEnd w:id="27"/>
      <w:bookmarkEnd w:id="28"/>
    </w:p>
    <w:p>
      <w:pPr>
        <w:numPr>
          <w:ilvl w:val="0"/>
          <w:numId w:val="0"/>
        </w:numPr>
        <w:rPr>
          <w:rFonts w:hint="default"/>
          <w:lang w:val="en-US" w:eastAsia="zh-CN"/>
        </w:rPr>
      </w:pP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谈判响应人必须按本谈判文件“第二章 第三条谈判响应人资格要求、相关证明材料”要求提供相关证明材料。否则，视为无效响应。 </w:t>
      </w:r>
    </w:p>
    <w:p>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谈判响应人资格要求、相关证明材料清单：</w:t>
      </w:r>
    </w:p>
    <w:p>
      <w:pPr>
        <w:pageBreakBefore w:val="0"/>
        <w:numPr>
          <w:ilvl w:val="0"/>
          <w:numId w:val="4"/>
        </w:numPr>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具有独立承担民事责任的能力：营业执照</w:t>
      </w:r>
    </w:p>
    <w:p>
      <w:pPr>
        <w:pageBreakBefore w:val="0"/>
        <w:numPr>
          <w:ilvl w:val="0"/>
          <w:numId w:val="0"/>
        </w:numPr>
        <w:kinsoku/>
        <w:wordWrap/>
        <w:overflowPunct/>
        <w:topLinePunct w:val="0"/>
        <w:bidi w:val="0"/>
        <w:adjustRightInd/>
        <w:snapToGrid w:val="0"/>
        <w:spacing w:before="95" w:beforeLines="30" w:line="578" w:lineRule="exact"/>
        <w:ind w:left="0" w:leftChars="0" w:right="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p>
    <w:p>
      <w:pPr>
        <w:pageBreakBefore w:val="0"/>
        <w:numPr>
          <w:ilvl w:val="0"/>
          <w:numId w:val="4"/>
        </w:numPr>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具有良好的商业信誉：2023年审计报告</w:t>
      </w:r>
    </w:p>
    <w:p>
      <w:pPr>
        <w:pStyle w:val="27"/>
        <w:pageBreakBefore w:val="0"/>
        <w:kinsoku/>
        <w:wordWrap/>
        <w:overflowPunct/>
        <w:topLinePunct w:val="0"/>
        <w:bidi w:val="0"/>
        <w:adjustRightInd/>
        <w:spacing w:before="95" w:beforeLines="30" w:line="578" w:lineRule="exact"/>
        <w:ind w:left="0" w:leftChars="0" w:right="0" w:firstLine="488"/>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p>
    <w:p>
      <w:pPr>
        <w:pStyle w:val="27"/>
        <w:pageBreakBefore w:val="0"/>
        <w:kinsoku/>
        <w:wordWrap/>
        <w:overflowPunct/>
        <w:topLinePunct w:val="0"/>
        <w:bidi w:val="0"/>
        <w:adjustRightInd/>
        <w:spacing w:before="95" w:beforeLines="30" w:line="578" w:lineRule="exact"/>
        <w:ind w:left="0" w:leftChars="0" w:right="0" w:firstLine="488"/>
        <w:rPr>
          <w:rFonts w:hint="default" w:ascii="Times New Roman" w:hAnsi="Times New Roman" w:eastAsia="仿宋" w:cs="Times New Roman"/>
          <w:sz w:val="32"/>
          <w:szCs w:val="32"/>
        </w:rPr>
      </w:pP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29" w:name="_Toc17661"/>
      <w:bookmarkStart w:id="30" w:name="_Toc32230"/>
      <w:bookmarkStart w:id="31" w:name="_Toc2647"/>
      <w:bookmarkStart w:id="32" w:name="_Toc29698"/>
      <w:r>
        <w:rPr>
          <w:rFonts w:hint="default" w:ascii="Times New Roman" w:hAnsi="Times New Roman" w:eastAsia="仿宋" w:cs="Times New Roman"/>
          <w:sz w:val="32"/>
          <w:szCs w:val="32"/>
        </w:rPr>
        <w:t>资格证明材料佐证资料</w:t>
      </w:r>
      <w:bookmarkEnd w:id="29"/>
      <w:bookmarkEnd w:id="30"/>
    </w:p>
    <w:p>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3" w:name="_Toc16210"/>
      <w:bookmarkStart w:id="34" w:name="_Toc8547"/>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具有独立承担民事责任的能力</w:t>
      </w:r>
      <w:bookmarkEnd w:id="33"/>
      <w:bookmarkEnd w:id="34"/>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5" w:name="_Toc21360"/>
      <w:bookmarkStart w:id="36" w:name="_Toc13276"/>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具有良好的商业信誉和健全的财务会计制度</w:t>
      </w:r>
      <w:bookmarkEnd w:id="35"/>
      <w:bookmarkEnd w:id="36"/>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7" w:name="_Toc8018"/>
      <w:bookmarkStart w:id="38" w:name="_Toc27309"/>
      <w:r>
        <w:rPr>
          <w:rFonts w:hint="default" w:ascii="Times New Roman" w:hAnsi="Times New Roman" w:eastAsia="仿宋" w:cs="Times New Roman"/>
          <w:sz w:val="32"/>
          <w:szCs w:val="32"/>
        </w:rPr>
        <w:t>......</w:t>
      </w:r>
      <w:bookmarkEnd w:id="37"/>
      <w:bookmarkEnd w:id="38"/>
    </w:p>
    <w:p>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9" w:name="_Toc26272"/>
      <w:bookmarkStart w:id="40" w:name="_Toc21498"/>
      <w:r>
        <w:rPr>
          <w:rFonts w:hint="default" w:ascii="Times New Roman" w:hAnsi="Times New Roman" w:eastAsia="仿宋" w:cs="Times New Roman"/>
          <w:sz w:val="32"/>
          <w:szCs w:val="32"/>
        </w:rPr>
        <w:t>8.本项目特殊资质要求</w:t>
      </w:r>
      <w:bookmarkEnd w:id="39"/>
      <w:bookmarkEnd w:id="40"/>
    </w:p>
    <w:p>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41" w:name="_Toc9591"/>
      <w:bookmarkStart w:id="42" w:name="_Toc1231"/>
      <w:r>
        <w:rPr>
          <w:rFonts w:hint="default" w:ascii="Times New Roman" w:hAnsi="Times New Roman" w:eastAsia="仿宋" w:cs="Times New Roman"/>
          <w:sz w:val="32"/>
          <w:szCs w:val="32"/>
        </w:rPr>
        <w:t>8.1</w:t>
      </w:r>
      <w:bookmarkEnd w:id="41"/>
      <w:bookmarkStart w:id="43" w:name="_Toc31108"/>
      <w:r>
        <w:rPr>
          <w:rFonts w:hint="default" w:ascii="Times New Roman" w:hAnsi="Times New Roman" w:eastAsia="仿宋" w:cs="Times New Roman"/>
          <w:sz w:val="32"/>
          <w:szCs w:val="32"/>
        </w:rPr>
        <w:t>本项目不属于联合体参加（承诺函）</w:t>
      </w:r>
      <w:bookmarkEnd w:id="42"/>
      <w:bookmarkEnd w:id="43"/>
    </w:p>
    <w:p>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44" w:name="_Toc4547"/>
      <w:bookmarkStart w:id="45" w:name="_Toc23147"/>
      <w:r>
        <w:rPr>
          <w:rFonts w:hint="default" w:ascii="Times New Roman" w:hAnsi="Times New Roman" w:eastAsia="仿宋" w:cs="Times New Roman"/>
          <w:sz w:val="32"/>
          <w:szCs w:val="32"/>
        </w:rPr>
        <w:t>8.2本项目不进行合同分包 （承诺函）</w:t>
      </w:r>
      <w:bookmarkEnd w:id="44"/>
      <w:bookmarkEnd w:id="45"/>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bookmarkStart w:id="46" w:name="_Toc510"/>
      <w:r>
        <w:rPr>
          <w:rFonts w:hint="default" w:ascii="Times New Roman" w:hAnsi="Times New Roman" w:eastAsia="仿宋" w:cs="Times New Roman"/>
          <w:sz w:val="32"/>
          <w:szCs w:val="32"/>
        </w:rPr>
        <w:br w:type="page"/>
      </w:r>
    </w:p>
    <w:bookmarkEnd w:id="31"/>
    <w:bookmarkEnd w:id="32"/>
    <w:bookmarkEnd w:id="46"/>
    <w:p>
      <w:pPr>
        <w:pStyle w:val="4"/>
        <w:pageBreakBefore w:val="0"/>
        <w:numPr>
          <w:ilvl w:val="0"/>
          <w:numId w:val="0"/>
        </w:numPr>
        <w:kinsoku/>
        <w:wordWrap/>
        <w:overflowPunct/>
        <w:topLinePunct w:val="0"/>
        <w:bidi w:val="0"/>
        <w:adjustRightInd/>
        <w:spacing w:before="95" w:beforeLines="30" w:after="0" w:line="578" w:lineRule="exact"/>
        <w:ind w:left="0" w:leftChars="0" w:right="0"/>
        <w:jc w:val="center"/>
        <w:rPr>
          <w:rFonts w:hint="default" w:ascii="Times New Roman" w:hAnsi="Times New Roman" w:eastAsia="仿宋" w:cs="Times New Roman"/>
          <w:sz w:val="32"/>
          <w:szCs w:val="32"/>
          <w:lang w:eastAsia="zh-CN"/>
        </w:rPr>
      </w:pPr>
      <w:bookmarkStart w:id="47" w:name="_Toc25553"/>
      <w:bookmarkStart w:id="48" w:name="_Toc12112"/>
      <w:bookmarkStart w:id="49" w:name="_Toc15036"/>
      <w:bookmarkStart w:id="50" w:name="_Toc25556"/>
      <w:r>
        <w:rPr>
          <w:rFonts w:hint="default" w:ascii="Times New Roman" w:hAnsi="Times New Roman" w:eastAsia="仿宋" w:cs="Times New Roman"/>
          <w:sz w:val="32"/>
          <w:szCs w:val="32"/>
          <w:lang w:val="en-US" w:eastAsia="zh-CN"/>
        </w:rPr>
        <w:t>9.1</w:t>
      </w:r>
      <w:r>
        <w:rPr>
          <w:rFonts w:hint="default" w:ascii="Times New Roman" w:hAnsi="Times New Roman" w:eastAsia="仿宋" w:cs="Times New Roman"/>
          <w:sz w:val="32"/>
          <w:szCs w:val="32"/>
        </w:rPr>
        <w:t>法定代表人身份证明</w:t>
      </w:r>
      <w:r>
        <w:rPr>
          <w:rFonts w:hint="default" w:ascii="Times New Roman" w:hAnsi="Times New Roman" w:eastAsia="仿宋" w:cs="Times New Roman"/>
          <w:sz w:val="32"/>
          <w:szCs w:val="32"/>
          <w:lang w:eastAsia="zh-CN"/>
        </w:rPr>
        <w:t>（格式）</w:t>
      </w:r>
      <w:bookmarkEnd w:id="47"/>
    </w:p>
    <w:p>
      <w:pPr>
        <w:pageBreakBefore w:val="0"/>
        <w:kinsoku/>
        <w:wordWrap/>
        <w:overflowPunct/>
        <w:topLinePunct w:val="0"/>
        <w:bidi w:val="0"/>
        <w:adjustRightInd/>
        <w:spacing w:before="95" w:beforeLines="3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人名称：</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单位性质：</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地址：</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成立时间：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经营期限：</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姓名：</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性别：</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年龄：</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职务：</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系</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的法定代表人。</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      特此证明。</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u w:val="single"/>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kern w:val="0"/>
          <w:sz w:val="32"/>
          <w:szCs w:val="32"/>
          <w14:textFill>
            <w14:solidFill>
              <w14:schemeClr w14:val="tx1"/>
            </w14:solidFill>
          </w14:textFill>
        </w:rPr>
        <w:t>：</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kern w:val="0"/>
          <w:sz w:val="32"/>
          <w:szCs w:val="32"/>
          <w14:textFill>
            <w14:solidFill>
              <w14:schemeClr w14:val="tx1"/>
            </w14:solidFill>
          </w14:textFill>
        </w:rPr>
        <w:t>（盖章）</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日期： </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3" w:firstLineChars="200"/>
        <w:rPr>
          <w:rFonts w:hint="default" w:ascii="Times New Roman" w:hAnsi="Times New Roman" w:eastAsia="仿宋" w:cs="Times New Roman"/>
          <w:b/>
          <w:bCs/>
          <w:color w:val="000000" w:themeColor="text1"/>
          <w:sz w:val="32"/>
          <w:szCs w:val="32"/>
          <w14:textFill>
            <w14:solidFill>
              <w14:schemeClr w14:val="tx1"/>
            </w14:solidFill>
          </w14:textFill>
        </w:rPr>
      </w:pPr>
      <w:r>
        <w:rPr>
          <w:rFonts w:hint="default" w:ascii="Times New Roman" w:hAnsi="Times New Roman" w:eastAsia="仿宋" w:cs="Times New Roman"/>
          <w:b/>
          <w:bCs/>
          <w:color w:val="000000" w:themeColor="text1"/>
          <w:sz w:val="32"/>
          <w:szCs w:val="32"/>
          <w14:textFill>
            <w14:solidFill>
              <w14:schemeClr w14:val="tx1"/>
            </w14:solidFill>
          </w14:textFill>
        </w:rPr>
        <w:t>注：法定代表人身份证明书后面须附法定代表人身份证复印件。</w:t>
      </w:r>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p>
    <w:p>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br w:type="page"/>
      </w:r>
      <w:bookmarkEnd w:id="48"/>
      <w:bookmarkEnd w:id="49"/>
      <w:bookmarkEnd w:id="50"/>
      <w:bookmarkStart w:id="51" w:name="_Toc6366"/>
      <w:bookmarkStart w:id="52" w:name="_Toc257725849"/>
      <w:bookmarkStart w:id="53" w:name="_Toc24969"/>
      <w:bookmarkStart w:id="54" w:name="_Toc157301603"/>
      <w:bookmarkStart w:id="55" w:name="_Toc5147"/>
      <w:bookmarkStart w:id="56" w:name="_Toc335308590"/>
      <w:r>
        <w:rPr>
          <w:rFonts w:hint="default" w:ascii="Times New Roman" w:hAnsi="Times New Roman" w:eastAsia="仿宋" w:cs="Times New Roman"/>
          <w:sz w:val="32"/>
          <w:szCs w:val="32"/>
          <w:lang w:val="en-US" w:eastAsia="zh-CN"/>
        </w:rPr>
        <w:t>9.2</w:t>
      </w:r>
      <w:r>
        <w:rPr>
          <w:rFonts w:hint="default" w:ascii="Times New Roman" w:hAnsi="Times New Roman" w:eastAsia="仿宋" w:cs="Times New Roman"/>
          <w:sz w:val="32"/>
          <w:szCs w:val="32"/>
        </w:rPr>
        <w:t>法定代表人授权委托书</w:t>
      </w:r>
      <w:r>
        <w:rPr>
          <w:rFonts w:hint="default" w:ascii="Times New Roman" w:hAnsi="Times New Roman" w:eastAsia="仿宋" w:cs="Times New Roman"/>
          <w:sz w:val="32"/>
          <w:szCs w:val="32"/>
          <w:lang w:eastAsia="zh-CN"/>
        </w:rPr>
        <w:t>（格式）</w:t>
      </w:r>
      <w:bookmarkEnd w:id="51"/>
    </w:p>
    <w:p>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u w:val="single"/>
          <w14:textFill>
            <w14:solidFill>
              <w14:schemeClr w14:val="tx1"/>
            </w14:solidFill>
          </w14:textFill>
        </w:rPr>
        <w:t>（</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u w:val="single"/>
          <w14:textFill>
            <w14:solidFill>
              <w14:schemeClr w14:val="tx1"/>
            </w14:solidFill>
          </w14:textFill>
        </w:rPr>
        <w:t>人）</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本人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（姓名）</w:t>
      </w:r>
      <w:r>
        <w:rPr>
          <w:rFonts w:hint="default" w:ascii="Times New Roman" w:hAnsi="Times New Roman" w:eastAsia="仿宋" w:cs="Times New Roman"/>
          <w:color w:val="000000" w:themeColor="text1"/>
          <w:sz w:val="32"/>
          <w:szCs w:val="32"/>
          <w14:textFill>
            <w14:solidFill>
              <w14:schemeClr w14:val="tx1"/>
            </w14:solidFill>
          </w14:textFill>
        </w:rPr>
        <w:t>系</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u w:val="single"/>
          <w14:textFill>
            <w14:solidFill>
              <w14:schemeClr w14:val="tx1"/>
            </w14:solidFill>
          </w14:textFill>
        </w:rPr>
        <w:t>人名称）</w:t>
      </w:r>
      <w:r>
        <w:rPr>
          <w:rFonts w:hint="default" w:ascii="Times New Roman" w:hAnsi="Times New Roman" w:eastAsia="仿宋" w:cs="Times New Roman"/>
          <w:color w:val="000000" w:themeColor="text1"/>
          <w:sz w:val="32"/>
          <w:szCs w:val="32"/>
          <w14:textFill>
            <w14:solidFill>
              <w14:schemeClr w14:val="tx1"/>
            </w14:solidFill>
          </w14:textFill>
        </w:rPr>
        <w:t>的法定代表人，现委托本单位人员</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（姓名）         </w:t>
      </w:r>
      <w:r>
        <w:rPr>
          <w:rFonts w:hint="default" w:ascii="Times New Roman" w:hAnsi="Times New Roman" w:eastAsia="仿宋" w:cs="Times New Roman"/>
          <w:color w:val="000000" w:themeColor="text1"/>
          <w:sz w:val="32"/>
          <w:szCs w:val="32"/>
          <w14:textFill>
            <w14:solidFill>
              <w14:schemeClr w14:val="tx1"/>
            </w14:solidFill>
          </w14:textFill>
        </w:rPr>
        <w:t>为我方代理人。代理人根据授权，以我方名义签署、澄清、说明、补正、递交、撤回、修改</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（项目名称）                    </w:t>
      </w:r>
      <w:r>
        <w:rPr>
          <w:rFonts w:hint="default" w:ascii="Times New Roman" w:hAnsi="Times New Roman" w:eastAsia="仿宋" w:cs="Times New Roman"/>
          <w:color w:val="000000" w:themeColor="text1"/>
          <w:sz w:val="32"/>
          <w:szCs w:val="32"/>
          <w14:textFill>
            <w14:solidFill>
              <w14:schemeClr w14:val="tx1"/>
            </w14:solidFill>
          </w14:textFill>
        </w:rPr>
        <w:t>的</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文件，其法律后果由我方承担。</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代理人无转委托权。</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附：委托代理人身份证复印件</w:t>
      </w: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谈判响应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（盖章）</w:t>
      </w:r>
    </w:p>
    <w:p>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pPr>
        <w:pStyle w:val="4"/>
        <w:pageBreakBefore w:val="0"/>
        <w:kinsoku/>
        <w:wordWrap/>
        <w:overflowPunct/>
        <w:topLinePunct w:val="0"/>
        <w:bidi w:val="0"/>
        <w:adjustRightInd/>
        <w:spacing w:before="95" w:beforeLines="30" w:after="0" w:line="578" w:lineRule="exact"/>
        <w:ind w:left="0" w:leftChars="0" w:right="0"/>
        <w:rPr>
          <w:rFonts w:hint="eastAsia" w:ascii="方正小标宋简体" w:hAnsi="方正小标宋简体" w:eastAsia="方正小标宋简体" w:cs="方正小标宋简体"/>
          <w:b w:val="0"/>
          <w:bCs w:val="0"/>
          <w:sz w:val="36"/>
          <w:szCs w:val="36"/>
          <w:lang w:val="en-US" w:eastAsia="zh-CN"/>
        </w:rPr>
      </w:pPr>
      <w:r>
        <w:rPr>
          <w:rFonts w:hint="eastAsia" w:ascii="仿宋" w:hAnsi="仿宋" w:eastAsia="仿宋" w:cs="仿宋"/>
          <w:sz w:val="32"/>
          <w:szCs w:val="32"/>
        </w:rPr>
        <w:br w:type="page"/>
      </w:r>
      <w:bookmarkStart w:id="57" w:name="_Toc30252"/>
      <w:bookmarkStart w:id="58" w:name="_Toc20079"/>
      <w:r>
        <w:rPr>
          <w:rFonts w:hint="eastAsia" w:ascii="方正小标宋简体" w:hAnsi="方正小标宋简体" w:eastAsia="方正小标宋简体" w:cs="方正小标宋简体"/>
          <w:b w:val="0"/>
          <w:bCs w:val="0"/>
          <w:sz w:val="36"/>
          <w:szCs w:val="36"/>
          <w:lang w:val="en-US" w:eastAsia="zh-CN"/>
        </w:rPr>
        <w:t>五、供应商基本情况表（格式）</w:t>
      </w:r>
      <w:bookmarkEnd w:id="57"/>
      <w:bookmarkEnd w:id="58"/>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u w:val="single"/>
          <w14:textFill>
            <w14:solidFill>
              <w14:schemeClr w14:val="tx1"/>
            </w14:solidFill>
          </w14:textFill>
        </w:rPr>
      </w:pPr>
    </w:p>
    <w:tbl>
      <w:tblPr>
        <w:tblStyle w:val="21"/>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1185"/>
        <w:gridCol w:w="1872"/>
        <w:gridCol w:w="153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供应商</w:t>
            </w:r>
            <w:r>
              <w:rPr>
                <w:rFonts w:hint="eastAsia" w:ascii="仿宋" w:hAnsi="仿宋" w:eastAsia="仿宋" w:cs="仿宋"/>
                <w:color w:val="000000" w:themeColor="text1"/>
                <w:sz w:val="32"/>
                <w:szCs w:val="32"/>
                <w14:textFill>
                  <w14:solidFill>
                    <w14:schemeClr w14:val="tx1"/>
                  </w14:solidFill>
                </w14:textFill>
              </w:rPr>
              <w:t>人名称</w:t>
            </w:r>
          </w:p>
        </w:tc>
        <w:tc>
          <w:tcPr>
            <w:tcW w:w="7010" w:type="dxa"/>
            <w:gridSpan w:val="4"/>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注册地址</w:t>
            </w:r>
          </w:p>
        </w:tc>
        <w:tc>
          <w:tcPr>
            <w:tcW w:w="3057" w:type="dxa"/>
            <w:gridSpan w:val="2"/>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邮政编码</w:t>
            </w:r>
          </w:p>
        </w:tc>
        <w:tc>
          <w:tcPr>
            <w:tcW w:w="242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联系方式</w:t>
            </w:r>
          </w:p>
        </w:tc>
        <w:tc>
          <w:tcPr>
            <w:tcW w:w="1185"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联系人</w:t>
            </w:r>
          </w:p>
        </w:tc>
        <w:tc>
          <w:tcPr>
            <w:tcW w:w="1872"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电话</w:t>
            </w:r>
          </w:p>
        </w:tc>
        <w:tc>
          <w:tcPr>
            <w:tcW w:w="242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185"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传真</w:t>
            </w:r>
          </w:p>
        </w:tc>
        <w:tc>
          <w:tcPr>
            <w:tcW w:w="1872"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网址</w:t>
            </w:r>
          </w:p>
        </w:tc>
        <w:tc>
          <w:tcPr>
            <w:tcW w:w="242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w:t>
            </w:r>
          </w:p>
        </w:tc>
        <w:tc>
          <w:tcPr>
            <w:tcW w:w="1185"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姓名</w:t>
            </w:r>
          </w:p>
        </w:tc>
        <w:tc>
          <w:tcPr>
            <w:tcW w:w="1872"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电话</w:t>
            </w:r>
          </w:p>
        </w:tc>
        <w:tc>
          <w:tcPr>
            <w:tcW w:w="242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项目</w:t>
            </w:r>
            <w:r>
              <w:rPr>
                <w:rFonts w:hint="eastAsia" w:ascii="仿宋" w:hAnsi="仿宋" w:eastAsia="仿宋" w:cs="仿宋"/>
                <w:color w:val="000000" w:themeColor="text1"/>
                <w:sz w:val="32"/>
                <w:szCs w:val="32"/>
                <w14:textFill>
                  <w14:solidFill>
                    <w14:schemeClr w14:val="tx1"/>
                  </w14:solidFill>
                </w14:textFill>
              </w:rPr>
              <w:t>负责人</w:t>
            </w:r>
          </w:p>
        </w:tc>
        <w:tc>
          <w:tcPr>
            <w:tcW w:w="1185"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姓名</w:t>
            </w:r>
          </w:p>
        </w:tc>
        <w:tc>
          <w:tcPr>
            <w:tcW w:w="1872"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电话</w:t>
            </w:r>
          </w:p>
        </w:tc>
        <w:tc>
          <w:tcPr>
            <w:tcW w:w="242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成立时间</w:t>
            </w:r>
          </w:p>
        </w:tc>
        <w:tc>
          <w:tcPr>
            <w:tcW w:w="7010" w:type="dxa"/>
            <w:gridSpan w:val="4"/>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营业执照号</w:t>
            </w:r>
          </w:p>
        </w:tc>
        <w:tc>
          <w:tcPr>
            <w:tcW w:w="7010" w:type="dxa"/>
            <w:gridSpan w:val="4"/>
            <w:vAlign w:val="center"/>
          </w:tcPr>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注册资金</w:t>
            </w:r>
          </w:p>
        </w:tc>
        <w:tc>
          <w:tcPr>
            <w:tcW w:w="7010" w:type="dxa"/>
            <w:gridSpan w:val="4"/>
            <w:tcBorders>
              <w:bottom w:val="single" w:color="auto" w:sz="4" w:space="0"/>
            </w:tcBorders>
            <w:vAlign w:val="center"/>
          </w:tcPr>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开户银行</w:t>
            </w:r>
          </w:p>
        </w:tc>
        <w:tc>
          <w:tcPr>
            <w:tcW w:w="7010" w:type="dxa"/>
            <w:gridSpan w:val="4"/>
            <w:tcBorders>
              <w:top w:val="single" w:color="auto" w:sz="4" w:space="0"/>
              <w:bottom w:val="single" w:color="auto" w:sz="4" w:space="0"/>
            </w:tcBorders>
            <w:vAlign w:val="center"/>
          </w:tcPr>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账号</w:t>
            </w:r>
          </w:p>
        </w:tc>
        <w:tc>
          <w:tcPr>
            <w:tcW w:w="7010" w:type="dxa"/>
            <w:gridSpan w:val="4"/>
            <w:tcBorders>
              <w:top w:val="single" w:color="auto" w:sz="4" w:space="0"/>
            </w:tcBorders>
            <w:vAlign w:val="center"/>
          </w:tcPr>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经营范围</w:t>
            </w:r>
          </w:p>
        </w:tc>
        <w:tc>
          <w:tcPr>
            <w:tcW w:w="7010" w:type="dxa"/>
            <w:gridSpan w:val="4"/>
            <w:vAlign w:val="center"/>
          </w:tcPr>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备注</w:t>
            </w:r>
          </w:p>
        </w:tc>
        <w:tc>
          <w:tcPr>
            <w:tcW w:w="7010" w:type="dxa"/>
            <w:gridSpan w:val="4"/>
            <w:vAlign w:val="center"/>
          </w:tcPr>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tc>
      </w:tr>
    </w:tbl>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b/>
          <w:bCs/>
          <w:color w:val="000000" w:themeColor="text1"/>
          <w:sz w:val="32"/>
          <w:szCs w:val="32"/>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p>
    <w:bookmarkEnd w:id="52"/>
    <w:bookmarkEnd w:id="53"/>
    <w:bookmarkEnd w:id="54"/>
    <w:bookmarkEnd w:id="55"/>
    <w:bookmarkEnd w:id="56"/>
    <w:p>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Fonts w:hint="eastAsia" w:ascii="方正小标宋简体" w:hAnsi="方正小标宋简体" w:eastAsia="方正小标宋简体" w:cs="方正小标宋简体"/>
          <w:b w:val="0"/>
          <w:bCs w:val="0"/>
          <w:sz w:val="36"/>
          <w:szCs w:val="36"/>
          <w:lang w:val="en-US" w:eastAsia="zh-CN"/>
        </w:rPr>
      </w:pPr>
      <w:bookmarkStart w:id="59" w:name="_Toc142053187"/>
      <w:bookmarkStart w:id="60" w:name="_Toc141859464"/>
      <w:bookmarkStart w:id="61" w:name="_Toc141859399"/>
      <w:bookmarkStart w:id="62" w:name="_Toc10037"/>
      <w:bookmarkStart w:id="63" w:name="_Toc22610"/>
      <w:r>
        <w:rPr>
          <w:rFonts w:hint="eastAsia" w:ascii="方正小标宋简体" w:hAnsi="方正小标宋简体" w:eastAsia="方正小标宋简体" w:cs="方正小标宋简体"/>
          <w:b w:val="0"/>
          <w:bCs w:val="0"/>
          <w:sz w:val="36"/>
          <w:szCs w:val="36"/>
          <w:lang w:val="en-US" w:eastAsia="zh-CN"/>
        </w:rPr>
        <w:t>六、报价表</w:t>
      </w:r>
      <w:bookmarkEnd w:id="59"/>
      <w:bookmarkEnd w:id="60"/>
      <w:bookmarkEnd w:id="61"/>
      <w:r>
        <w:rPr>
          <w:rFonts w:hint="eastAsia" w:ascii="方正小标宋简体" w:hAnsi="方正小标宋简体" w:eastAsia="方正小标宋简体" w:cs="方正小标宋简体"/>
          <w:b w:val="0"/>
          <w:bCs w:val="0"/>
          <w:sz w:val="36"/>
          <w:szCs w:val="36"/>
          <w:lang w:val="en-US" w:eastAsia="zh-CN"/>
        </w:rPr>
        <w:t>（格式）</w:t>
      </w:r>
      <w:bookmarkEnd w:id="62"/>
      <w:bookmarkEnd w:id="63"/>
    </w:p>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bl>
      <w:tblPr>
        <w:tblStyle w:val="21"/>
        <w:tblpPr w:leftFromText="180" w:rightFromText="180" w:vertAnchor="text" w:horzAnchor="page" w:tblpX="1505" w:tblpY="106"/>
        <w:tblOverlap w:val="never"/>
        <w:tblW w:w="88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2"/>
        <w:gridCol w:w="2383"/>
        <w:gridCol w:w="1325"/>
        <w:gridCol w:w="1200"/>
        <w:gridCol w:w="2689"/>
        <w:gridCol w:w="5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2" w:hRule="atLeast"/>
        </w:trPr>
        <w:tc>
          <w:tcPr>
            <w:tcW w:w="672"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b/>
                <w:sz w:val="32"/>
                <w:szCs w:val="32"/>
              </w:rPr>
            </w:pPr>
            <w:r>
              <w:rPr>
                <w:rFonts w:hint="eastAsia" w:ascii="仿宋" w:hAnsi="仿宋" w:eastAsia="仿宋" w:cs="仿宋"/>
                <w:b/>
                <w:sz w:val="32"/>
                <w:szCs w:val="32"/>
              </w:rPr>
              <w:t>序号</w:t>
            </w:r>
          </w:p>
        </w:tc>
        <w:tc>
          <w:tcPr>
            <w:tcW w:w="2383"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项目内容</w:t>
            </w:r>
          </w:p>
        </w:tc>
        <w:tc>
          <w:tcPr>
            <w:tcW w:w="1325"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数量</w:t>
            </w:r>
          </w:p>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w:t>
            </w:r>
          </w:p>
        </w:tc>
        <w:tc>
          <w:tcPr>
            <w:tcW w:w="1200"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单价(元)</w:t>
            </w:r>
          </w:p>
        </w:tc>
        <w:tc>
          <w:tcPr>
            <w:tcW w:w="2689" w:type="dxa"/>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总价(元)</w:t>
            </w:r>
          </w:p>
        </w:tc>
        <w:tc>
          <w:tcPr>
            <w:tcW w:w="588"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8" w:hRule="atLeast"/>
        </w:trPr>
        <w:tc>
          <w:tcPr>
            <w:tcW w:w="672"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2383"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1325"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1200"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2689"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u w:val="double"/>
                <w:lang w:val="en-US"/>
              </w:rPr>
            </w:pPr>
          </w:p>
        </w:tc>
        <w:tc>
          <w:tcPr>
            <w:tcW w:w="588"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8" w:hRule="atLeast"/>
        </w:trPr>
        <w:tc>
          <w:tcPr>
            <w:tcW w:w="672"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2383"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1325"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1200"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2689"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lang w:val="en-US"/>
              </w:rPr>
            </w:pPr>
          </w:p>
        </w:tc>
        <w:tc>
          <w:tcPr>
            <w:tcW w:w="588"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7" w:hRule="atLeast"/>
        </w:trPr>
        <w:tc>
          <w:tcPr>
            <w:tcW w:w="4380" w:type="dxa"/>
            <w:gridSpan w:val="3"/>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合计</w:t>
            </w:r>
          </w:p>
        </w:tc>
        <w:tc>
          <w:tcPr>
            <w:tcW w:w="1200"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2689"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u w:val="double"/>
                <w:lang w:val="en-US"/>
              </w:rPr>
            </w:pPr>
            <w:r>
              <w:rPr>
                <w:rFonts w:hint="eastAsia" w:ascii="仿宋" w:hAnsi="仿宋" w:eastAsia="仿宋" w:cs="仿宋"/>
                <w:sz w:val="32"/>
                <w:szCs w:val="32"/>
                <w:lang w:val="en-US"/>
              </w:rPr>
              <w:t>小写：</w:t>
            </w:r>
          </w:p>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大写：</w:t>
            </w:r>
          </w:p>
        </w:tc>
        <w:tc>
          <w:tcPr>
            <w:tcW w:w="588" w:type="dxa"/>
            <w:vAlign w:val="center"/>
          </w:tcPr>
          <w:p>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r>
    </w:tbl>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注：报价（含单价和合计）超过预算价的响应无效</w:t>
      </w:r>
    </w:p>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bookmarkStart w:id="64" w:name="_Toc14413"/>
      <w:r>
        <w:rPr>
          <w:rFonts w:hint="eastAsia" w:ascii="仿宋" w:hAnsi="仿宋" w:eastAsia="仿宋" w:cs="仿宋"/>
          <w:color w:val="000000" w:themeColor="text1"/>
          <w:sz w:val="32"/>
          <w:szCs w:val="32"/>
          <w:lang w:eastAsia="zh-CN"/>
          <w14:textFill>
            <w14:solidFill>
              <w14:schemeClr w14:val="tx1"/>
            </w14:solidFill>
          </w14:textFill>
        </w:rPr>
        <w:t>谈判响应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（盖单位公章）</w:t>
      </w:r>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法定代表人或委托代理人：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r>
        <w:rPr>
          <w:rFonts w:hint="eastAsia" w:ascii="仿宋" w:hAnsi="仿宋" w:eastAsia="仿宋" w:cs="仿宋"/>
          <w:sz w:val="32"/>
          <w:szCs w:val="32"/>
        </w:rPr>
        <w:br w:type="page"/>
      </w:r>
    </w:p>
    <w:p>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Fonts w:hint="eastAsia" w:ascii="方正小标宋简体" w:hAnsi="方正小标宋简体" w:eastAsia="方正小标宋简体" w:cs="方正小标宋简体"/>
          <w:b w:val="0"/>
          <w:bCs w:val="0"/>
          <w:sz w:val="36"/>
          <w:szCs w:val="36"/>
          <w:lang w:val="en-US" w:eastAsia="zh-CN"/>
        </w:rPr>
      </w:pPr>
      <w:bookmarkStart w:id="65" w:name="_Toc13661"/>
      <w:r>
        <w:rPr>
          <w:rFonts w:hint="eastAsia" w:ascii="方正小标宋简体" w:hAnsi="方正小标宋简体" w:eastAsia="方正小标宋简体" w:cs="方正小标宋简体"/>
          <w:b w:val="0"/>
          <w:bCs w:val="0"/>
          <w:sz w:val="36"/>
          <w:szCs w:val="36"/>
          <w:lang w:val="en-US" w:eastAsia="zh-CN"/>
        </w:rPr>
        <w:t>七、技术要求应答表（格式）</w:t>
      </w:r>
      <w:bookmarkEnd w:id="64"/>
      <w:bookmarkEnd w:id="65"/>
    </w:p>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bl>
      <w:tblPr>
        <w:tblStyle w:val="21"/>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序号</w:t>
            </w:r>
          </w:p>
        </w:tc>
        <w:tc>
          <w:tcPr>
            <w:tcW w:w="1542" w:type="dxa"/>
            <w:vAlign w:val="center"/>
          </w:tcPr>
          <w:p>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项目名称</w:t>
            </w:r>
          </w:p>
        </w:tc>
        <w:tc>
          <w:tcPr>
            <w:tcW w:w="1467" w:type="dxa"/>
            <w:vAlign w:val="center"/>
          </w:tcPr>
          <w:p>
            <w:pPr>
              <w:pStyle w:val="49"/>
              <w:pageBreakBefore w:val="0"/>
              <w:kinsoku/>
              <w:wordWrap/>
              <w:overflowPunct/>
              <w:topLinePunct w:val="0"/>
              <w:bidi w:val="0"/>
              <w:adjustRightInd/>
              <w:spacing w:before="95" w:beforeLines="30" w:line="578" w:lineRule="exact"/>
              <w:ind w:left="0" w:leftChars="0" w:right="0" w:firstLine="90" w:firstLineChars="28"/>
              <w:jc w:val="center"/>
              <w:rPr>
                <w:rFonts w:hint="eastAsia" w:ascii="仿宋" w:hAnsi="仿宋" w:eastAsia="仿宋" w:cs="仿宋"/>
                <w:b/>
                <w:sz w:val="32"/>
                <w:szCs w:val="32"/>
              </w:rPr>
            </w:pPr>
            <w:r>
              <w:rPr>
                <w:rFonts w:hint="eastAsia" w:ascii="仿宋" w:hAnsi="仿宋" w:eastAsia="仿宋" w:cs="仿宋"/>
                <w:b/>
                <w:sz w:val="32"/>
                <w:szCs w:val="32"/>
              </w:rPr>
              <w:t>技术要求</w:t>
            </w:r>
          </w:p>
        </w:tc>
        <w:tc>
          <w:tcPr>
            <w:tcW w:w="1711" w:type="dxa"/>
            <w:vAlign w:val="center"/>
          </w:tcPr>
          <w:p>
            <w:pPr>
              <w:pStyle w:val="49"/>
              <w:pageBreakBefore w:val="0"/>
              <w:kinsoku/>
              <w:wordWrap/>
              <w:overflowPunct/>
              <w:topLinePunct w:val="0"/>
              <w:bidi w:val="0"/>
              <w:adjustRightInd/>
              <w:spacing w:before="95" w:beforeLines="30" w:line="578" w:lineRule="exact"/>
              <w:ind w:left="0" w:leftChars="0" w:right="0" w:hanging="22"/>
              <w:jc w:val="center"/>
              <w:rPr>
                <w:rFonts w:hint="eastAsia" w:ascii="仿宋" w:hAnsi="仿宋" w:eastAsia="仿宋" w:cs="仿宋"/>
                <w:b/>
                <w:sz w:val="32"/>
                <w:szCs w:val="32"/>
              </w:rPr>
            </w:pPr>
            <w:r>
              <w:rPr>
                <w:rFonts w:hint="eastAsia" w:ascii="仿宋" w:hAnsi="仿宋" w:eastAsia="仿宋" w:cs="仿宋"/>
                <w:b/>
                <w:sz w:val="32"/>
                <w:szCs w:val="32"/>
              </w:rPr>
              <w:t>技术要求应答</w:t>
            </w:r>
          </w:p>
        </w:tc>
        <w:tc>
          <w:tcPr>
            <w:tcW w:w="1677" w:type="dxa"/>
            <w:vAlign w:val="center"/>
          </w:tcPr>
          <w:p>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偏离情况</w:t>
            </w:r>
          </w:p>
          <w:p>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（符合、正偏离或负偏离）</w:t>
            </w:r>
          </w:p>
        </w:tc>
        <w:tc>
          <w:tcPr>
            <w:tcW w:w="1590" w:type="dxa"/>
            <w:vAlign w:val="center"/>
          </w:tcPr>
          <w:p>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偏离项（将偏离的内容填入此列）</w:t>
            </w:r>
          </w:p>
        </w:tc>
        <w:tc>
          <w:tcPr>
            <w:tcW w:w="855" w:type="dxa"/>
            <w:vAlign w:val="center"/>
          </w:tcPr>
          <w:p>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p>
          <w:p>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bl>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p>
      <w:pPr>
        <w:pageBreakBefore w:val="0"/>
        <w:kinsoku/>
        <w:wordWrap/>
        <w:overflowPunct/>
        <w:topLinePunct w:val="0"/>
        <w:bidi w:val="0"/>
        <w:adjustRightInd/>
        <w:spacing w:before="95" w:beforeLines="30" w:line="578" w:lineRule="exact"/>
        <w:ind w:left="0" w:leftChars="0" w:right="0" w:hanging="709"/>
        <w:rPr>
          <w:rFonts w:hint="eastAsia" w:ascii="仿宋" w:hAnsi="仿宋" w:eastAsia="仿宋" w:cs="仿宋"/>
          <w:b/>
          <w:bCs/>
          <w:sz w:val="32"/>
          <w:szCs w:val="32"/>
        </w:rPr>
      </w:pPr>
      <w:r>
        <w:rPr>
          <w:rFonts w:hint="eastAsia" w:ascii="仿宋" w:hAnsi="仿宋" w:eastAsia="仿宋" w:cs="仿宋"/>
          <w:b/>
          <w:bCs/>
          <w:sz w:val="32"/>
          <w:szCs w:val="32"/>
        </w:rPr>
        <w:t>注：1.供应商须按照采购项目服务要求逐条响应，注明正负偏离。</w:t>
      </w:r>
    </w:p>
    <w:p>
      <w:pPr>
        <w:pStyle w:val="38"/>
        <w:pageBreakBefore w:val="0"/>
        <w:tabs>
          <w:tab w:val="left" w:pos="1839"/>
        </w:tabs>
        <w:kinsoku/>
        <w:wordWrap/>
        <w:overflowPunct/>
        <w:topLinePunct w:val="0"/>
        <w:bidi w:val="0"/>
        <w:adjustRightInd/>
        <w:spacing w:before="95" w:beforeLines="30" w:line="578" w:lineRule="exact"/>
        <w:ind w:left="0" w:leftChars="0" w:right="0" w:firstLine="0" w:firstLineChars="0"/>
        <w:rPr>
          <w:rFonts w:hint="eastAsia" w:ascii="仿宋" w:hAnsi="仿宋" w:eastAsia="仿宋" w:cs="仿宋"/>
          <w:sz w:val="32"/>
          <w:szCs w:val="32"/>
        </w:rPr>
      </w:pPr>
      <w:r>
        <w:rPr>
          <w:rFonts w:hint="eastAsia" w:ascii="仿宋" w:hAnsi="仿宋" w:eastAsia="仿宋" w:cs="仿宋"/>
          <w:b/>
          <w:bCs/>
          <w:sz w:val="32"/>
          <w:szCs w:val="32"/>
        </w:rPr>
        <w:t>2.供应商必须据实填写，不得虚假响应，否则将取消其响应或成交资格，并按照相关法律法规进行处理。</w:t>
      </w:r>
    </w:p>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谈判响应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（盖单位公章）</w:t>
      </w:r>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法定代表人或委托代理人：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r>
        <w:rPr>
          <w:rFonts w:hint="eastAsia" w:ascii="仿宋" w:hAnsi="仿宋" w:eastAsia="仿宋" w:cs="仿宋"/>
          <w:sz w:val="32"/>
          <w:szCs w:val="32"/>
        </w:rPr>
        <w:br w:type="page"/>
      </w:r>
    </w:p>
    <w:p>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Fonts w:hint="eastAsia" w:ascii="方正小标宋简体" w:hAnsi="方正小标宋简体" w:eastAsia="方正小标宋简体" w:cs="方正小标宋简体"/>
          <w:b w:val="0"/>
          <w:bCs w:val="0"/>
          <w:sz w:val="36"/>
          <w:szCs w:val="36"/>
          <w:lang w:val="en-US" w:eastAsia="zh-CN"/>
        </w:rPr>
      </w:pPr>
      <w:bookmarkStart w:id="66" w:name="_Toc17209"/>
      <w:bookmarkStart w:id="67" w:name="_Toc32435"/>
      <w:r>
        <w:rPr>
          <w:rFonts w:hint="eastAsia" w:ascii="方正小标宋简体" w:hAnsi="方正小标宋简体" w:eastAsia="方正小标宋简体" w:cs="方正小标宋简体"/>
          <w:b w:val="0"/>
          <w:bCs w:val="0"/>
          <w:sz w:val="36"/>
          <w:szCs w:val="36"/>
          <w:lang w:val="en-US" w:eastAsia="zh-CN"/>
        </w:rPr>
        <w:t>八、商务应答表（格式）</w:t>
      </w:r>
      <w:bookmarkEnd w:id="66"/>
      <w:bookmarkEnd w:id="67"/>
    </w:p>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序号</w:t>
            </w:r>
          </w:p>
        </w:tc>
        <w:tc>
          <w:tcPr>
            <w:tcW w:w="2409"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商务要求</w:t>
            </w:r>
          </w:p>
        </w:tc>
        <w:tc>
          <w:tcPr>
            <w:tcW w:w="2594" w:type="dxa"/>
            <w:vAlign w:val="center"/>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商务应答</w:t>
            </w:r>
          </w:p>
        </w:tc>
        <w:tc>
          <w:tcPr>
            <w:tcW w:w="2186" w:type="dxa"/>
            <w:vAlign w:val="center"/>
          </w:tcPr>
          <w:p>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偏离情况</w:t>
            </w:r>
          </w:p>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sz w:val="32"/>
                <w:szCs w:val="32"/>
              </w:rPr>
              <w:t>（符合、正偏离或负偏离）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bl>
    <w:p>
      <w:pPr>
        <w:pageBreakBefore w:val="0"/>
        <w:kinsoku/>
        <w:wordWrap/>
        <w:overflowPunct/>
        <w:topLinePunct w:val="0"/>
        <w:bidi w:val="0"/>
        <w:adjustRightInd/>
        <w:spacing w:before="95" w:beforeLines="30" w:line="578" w:lineRule="exact"/>
        <w:ind w:left="0" w:leftChars="0" w:right="0" w:firstLine="643" w:firstLineChars="200"/>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注：供应商必须据实填写，不得虚假响应，否则将取消其谈判或成交资格。</w:t>
      </w:r>
    </w:p>
    <w:p>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谈判响应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（盖单位公章）</w:t>
      </w:r>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法定代表人或委托代理人：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pPr>
        <w:pageBreakBefore w:val="0"/>
        <w:widowControl/>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sz w:val="32"/>
          <w:szCs w:val="32"/>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ffectLst/>
                    </wps:spPr>
                    <wps:txbx>
                      <w:txbxContent>
                        <w:p>
                          <w:pPr>
                            <w:pStyle w:val="14"/>
                            <w:jc w:val="both"/>
                            <w:rPr>
                              <w:sz w:val="21"/>
                              <w:szCs w:val="32"/>
                            </w:rPr>
                          </w:pP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tbuXfQAAAAAgEAAA8AAAAAAAAAAQAgAAAAIgAAAGRycy9kb3ducmV2Lnht&#10;bFBLAQIUABQAAAAIAIdO4kBMA5LxAQIAABEEAAAOAAAAAAAAAAEAIAAAAB8BAABkcnMvZTJvRG9j&#10;LnhtbFBLBQYAAAAABgAGAFkBAACSBQAAAAA=&#10;">
              <v:fill on="f" focussize="0,0"/>
              <v:stroke on="f"/>
              <v:imagedata o:title=""/>
              <o:lock v:ext="edit" aspectratio="f"/>
              <v:textbox inset="0mm,0mm,0mm,0mm" style="mso-fit-shape-to-text:t;">
                <w:txbxContent>
                  <w:p>
                    <w:pPr>
                      <w:pStyle w:val="14"/>
                      <w:jc w:val="both"/>
                      <w:rPr>
                        <w:sz w:val="21"/>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ffectLst/>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- 7 -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tbuXfQAAAAAgEAAA8AAAAAAAAAAQAgAAAAIgAAAGRycy9kb3ducmV2Lnht&#10;bFBLAQIUABQAAAAIAIdO4kBR9qL9AQIAABEEAAAOAAAAAAAAAAEAIAAAAB8BAABkcnMvZTJvRG9j&#10;LnhtbFBLBQYAAAAABgAGAFkBAACSBQ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- 7 -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a:effectLst/>
                    </wps:spPr>
                    <wps:txbx>
                      <w:txbxContent>
                        <w:p>
                          <w:pPr>
                            <w:pStyle w:val="14"/>
                            <w:jc w:val="center"/>
                          </w:pPr>
                          <w:r>
                            <w:rPr>
                              <w:b/>
                              <w:sz w:val="24"/>
                            </w:rPr>
                            <w:fldChar w:fldCharType="begin"/>
                          </w:r>
                          <w:r>
                            <w:rPr>
                              <w:b/>
                            </w:rPr>
                            <w:instrText xml:space="preserve">PAGE</w:instrText>
                          </w:r>
                          <w:r>
                            <w:rPr>
                              <w:b/>
                              <w:sz w:val="24"/>
                            </w:rPr>
                            <w:fldChar w:fldCharType="separate"/>
                          </w:r>
                          <w:r>
                            <w:rPr>
                              <w:b/>
                            </w:rPr>
                            <w:t>- 33 -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YulhTQAAAAAwEAAA8AAAAAAAAAAQAgAAAAIgAAAGRy&#10;cy9kb3ducmV2LnhtbFBLAQIUABQAAAAIAIdO4kAxLHdRDQIAABAEAAAOAAAAAAAAAAEAIAAAAB8B&#10;AABkcnMvZTJvRG9jLnhtbFBLBQYAAAAABgAGAFkBAACeBQAAAAA=&#10;">
              <v:fill on="f" focussize="0,0"/>
              <v:stroke on="f"/>
              <v:imagedata o:title=""/>
              <o:lock v:ext="edit" aspectratio="f"/>
              <v:textbox inset="0mm,0mm,0mm,0mm" style="mso-fit-shape-to-text:t;">
                <w:txbxContent>
                  <w:p>
                    <w:pPr>
                      <w:pStyle w:val="14"/>
                      <w:jc w:val="center"/>
                    </w:pPr>
                    <w:r>
                      <w:rPr>
                        <w:b/>
                        <w:sz w:val="24"/>
                      </w:rPr>
                      <w:fldChar w:fldCharType="begin"/>
                    </w:r>
                    <w:r>
                      <w:rPr>
                        <w:b/>
                      </w:rPr>
                      <w:instrText xml:space="preserve">PAGE</w:instrText>
                    </w:r>
                    <w:r>
                      <w:rPr>
                        <w:b/>
                        <w:sz w:val="24"/>
                      </w:rPr>
                      <w:fldChar w:fldCharType="separate"/>
                    </w:r>
                    <w:r>
                      <w:rPr>
                        <w:b/>
                      </w:rPr>
                      <w:t>- 33 -</w:t>
                    </w:r>
                    <w:r>
                      <w:rPr>
                        <w:b/>
                        <w:sz w:val="24"/>
                      </w:rPr>
                      <w:fldChar w:fldCharType="end"/>
                    </w:r>
                  </w:p>
                </w:txbxContent>
              </v:textbox>
            </v:shape>
          </w:pict>
        </mc:Fallback>
      </mc:AlternateContent>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8DF39"/>
    <w:multiLevelType w:val="singleLevel"/>
    <w:tmpl w:val="88F8DF39"/>
    <w:lvl w:ilvl="0" w:tentative="0">
      <w:start w:val="4"/>
      <w:numFmt w:val="chineseCounting"/>
      <w:suff w:val="nothing"/>
      <w:lvlText w:val="%1、"/>
      <w:lvlJc w:val="left"/>
      <w:rPr>
        <w:rFonts w:hint="eastAsia"/>
      </w:rPr>
    </w:lvl>
  </w:abstractNum>
  <w:abstractNum w:abstractNumId="1">
    <w:nsid w:val="9FEE39DF"/>
    <w:multiLevelType w:val="singleLevel"/>
    <w:tmpl w:val="9FEE39DF"/>
    <w:lvl w:ilvl="0" w:tentative="0">
      <w:start w:val="1"/>
      <w:numFmt w:val="chineseCounting"/>
      <w:suff w:val="space"/>
      <w:lvlText w:val="第%1章"/>
      <w:lvlJc w:val="left"/>
      <w:rPr>
        <w:rFonts w:hint="eastAsia"/>
      </w:rPr>
    </w:lvl>
  </w:abstractNum>
  <w:abstractNum w:abstractNumId="2">
    <w:nsid w:val="222D4F96"/>
    <w:multiLevelType w:val="singleLevel"/>
    <w:tmpl w:val="222D4F96"/>
    <w:lvl w:ilvl="0" w:tentative="0">
      <w:start w:val="1"/>
      <w:numFmt w:val="decimal"/>
      <w:lvlText w:val="%1."/>
      <w:lvlJc w:val="left"/>
      <w:pPr>
        <w:tabs>
          <w:tab w:val="left" w:pos="312"/>
        </w:tabs>
      </w:pPr>
    </w:lvl>
  </w:abstractNum>
  <w:abstractNum w:abstractNumId="3">
    <w:nsid w:val="2CB781F5"/>
    <w:multiLevelType w:val="singleLevel"/>
    <w:tmpl w:val="2CB781F5"/>
    <w:lvl w:ilvl="0" w:tentative="0">
      <w:start w:val="4"/>
      <w:numFmt w:val="chineseCounting"/>
      <w:suff w:val="space"/>
      <w:lvlText w:val="第%1章"/>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jZjBlZWRhNGRhZTgzNWUxODhiMDQxMDY3YzMyNGE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15A4"/>
    <w:rsid w:val="001A65F7"/>
    <w:rsid w:val="001A765A"/>
    <w:rsid w:val="001B35E1"/>
    <w:rsid w:val="001B4AF2"/>
    <w:rsid w:val="001C0ED3"/>
    <w:rsid w:val="001C3593"/>
    <w:rsid w:val="001C41DA"/>
    <w:rsid w:val="001C648A"/>
    <w:rsid w:val="001C68FB"/>
    <w:rsid w:val="001E0677"/>
    <w:rsid w:val="001E3AFF"/>
    <w:rsid w:val="001F783E"/>
    <w:rsid w:val="00200B3B"/>
    <w:rsid w:val="002011DD"/>
    <w:rsid w:val="00201588"/>
    <w:rsid w:val="00212D68"/>
    <w:rsid w:val="00234A35"/>
    <w:rsid w:val="0024370E"/>
    <w:rsid w:val="0025741D"/>
    <w:rsid w:val="0026609B"/>
    <w:rsid w:val="00270CD2"/>
    <w:rsid w:val="00280C1D"/>
    <w:rsid w:val="00282B40"/>
    <w:rsid w:val="00284EE8"/>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9625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37AEB"/>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045EB"/>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200"/>
    <w:rsid w:val="008F2495"/>
    <w:rsid w:val="008F3560"/>
    <w:rsid w:val="009051B0"/>
    <w:rsid w:val="00910E4F"/>
    <w:rsid w:val="00912252"/>
    <w:rsid w:val="009123B9"/>
    <w:rsid w:val="00913432"/>
    <w:rsid w:val="00914E2D"/>
    <w:rsid w:val="0091647B"/>
    <w:rsid w:val="0091743D"/>
    <w:rsid w:val="0091751E"/>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13B3"/>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D4C0F"/>
    <w:rsid w:val="00CE2857"/>
    <w:rsid w:val="00CE2D2F"/>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1514"/>
    <w:rsid w:val="00E27876"/>
    <w:rsid w:val="00E31968"/>
    <w:rsid w:val="00E368C7"/>
    <w:rsid w:val="00E4244D"/>
    <w:rsid w:val="00E62764"/>
    <w:rsid w:val="00E63287"/>
    <w:rsid w:val="00E64E55"/>
    <w:rsid w:val="00E673C9"/>
    <w:rsid w:val="00E70722"/>
    <w:rsid w:val="00E7108C"/>
    <w:rsid w:val="00E75AF1"/>
    <w:rsid w:val="00E82E66"/>
    <w:rsid w:val="00E86A4D"/>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A14"/>
    <w:rsid w:val="00F80D97"/>
    <w:rsid w:val="00F9157B"/>
    <w:rsid w:val="00F92FE9"/>
    <w:rsid w:val="00F955FE"/>
    <w:rsid w:val="00F9689D"/>
    <w:rsid w:val="00FB411B"/>
    <w:rsid w:val="00FB6ECF"/>
    <w:rsid w:val="00FC02B7"/>
    <w:rsid w:val="00FC03AE"/>
    <w:rsid w:val="00FC37FA"/>
    <w:rsid w:val="00FC6272"/>
    <w:rsid w:val="00FC6C37"/>
    <w:rsid w:val="00FD2EEE"/>
    <w:rsid w:val="00FE2742"/>
    <w:rsid w:val="00FE5FFE"/>
    <w:rsid w:val="00FE6222"/>
    <w:rsid w:val="00FE77A4"/>
    <w:rsid w:val="016745AA"/>
    <w:rsid w:val="02B135AE"/>
    <w:rsid w:val="02D3778F"/>
    <w:rsid w:val="041A6F2B"/>
    <w:rsid w:val="05536659"/>
    <w:rsid w:val="05565D5F"/>
    <w:rsid w:val="06DE4E2C"/>
    <w:rsid w:val="077E53E9"/>
    <w:rsid w:val="07946674"/>
    <w:rsid w:val="09192E71"/>
    <w:rsid w:val="0AC02F04"/>
    <w:rsid w:val="0C3139E1"/>
    <w:rsid w:val="0D0F5C7C"/>
    <w:rsid w:val="0D58687D"/>
    <w:rsid w:val="0E0964C9"/>
    <w:rsid w:val="0E3951E7"/>
    <w:rsid w:val="0E781994"/>
    <w:rsid w:val="0E9C7797"/>
    <w:rsid w:val="0F9524E3"/>
    <w:rsid w:val="10C10B20"/>
    <w:rsid w:val="1148051E"/>
    <w:rsid w:val="11891AE7"/>
    <w:rsid w:val="15C7260D"/>
    <w:rsid w:val="163D4862"/>
    <w:rsid w:val="1A1B24C3"/>
    <w:rsid w:val="1A3E7EEF"/>
    <w:rsid w:val="1ADB7AD1"/>
    <w:rsid w:val="1B10465A"/>
    <w:rsid w:val="1D181B85"/>
    <w:rsid w:val="1DDE4C9E"/>
    <w:rsid w:val="1E7D76D9"/>
    <w:rsid w:val="1F0431B5"/>
    <w:rsid w:val="1F4B4A6C"/>
    <w:rsid w:val="1F8D43A2"/>
    <w:rsid w:val="1FBB26E4"/>
    <w:rsid w:val="20366416"/>
    <w:rsid w:val="22631529"/>
    <w:rsid w:val="232C1E94"/>
    <w:rsid w:val="234F0A56"/>
    <w:rsid w:val="243E6FFD"/>
    <w:rsid w:val="26CF7B52"/>
    <w:rsid w:val="272730F1"/>
    <w:rsid w:val="27B2761D"/>
    <w:rsid w:val="28243107"/>
    <w:rsid w:val="297A08FF"/>
    <w:rsid w:val="2B4655BF"/>
    <w:rsid w:val="2D6D31F3"/>
    <w:rsid w:val="2FC03CB8"/>
    <w:rsid w:val="30313232"/>
    <w:rsid w:val="306906FB"/>
    <w:rsid w:val="31A82E22"/>
    <w:rsid w:val="322B74F5"/>
    <w:rsid w:val="33107636"/>
    <w:rsid w:val="34C22323"/>
    <w:rsid w:val="37113155"/>
    <w:rsid w:val="39221AA1"/>
    <w:rsid w:val="3A013E94"/>
    <w:rsid w:val="3A402D29"/>
    <w:rsid w:val="3A666A12"/>
    <w:rsid w:val="3AD1447A"/>
    <w:rsid w:val="3B8254A0"/>
    <w:rsid w:val="3BA25B9F"/>
    <w:rsid w:val="3C2A5D72"/>
    <w:rsid w:val="3C6516C0"/>
    <w:rsid w:val="3D333A9E"/>
    <w:rsid w:val="3D483712"/>
    <w:rsid w:val="3DB34515"/>
    <w:rsid w:val="3DE9514C"/>
    <w:rsid w:val="3E4A516B"/>
    <w:rsid w:val="3F3C55B6"/>
    <w:rsid w:val="3F941C5C"/>
    <w:rsid w:val="41BB295C"/>
    <w:rsid w:val="42556DB5"/>
    <w:rsid w:val="43366565"/>
    <w:rsid w:val="446472DA"/>
    <w:rsid w:val="451851EA"/>
    <w:rsid w:val="478415D1"/>
    <w:rsid w:val="479042B7"/>
    <w:rsid w:val="479E6FA7"/>
    <w:rsid w:val="47C67111"/>
    <w:rsid w:val="47CE4DAE"/>
    <w:rsid w:val="486F44EB"/>
    <w:rsid w:val="4A61791F"/>
    <w:rsid w:val="4C904396"/>
    <w:rsid w:val="4E4D7031"/>
    <w:rsid w:val="552B2DAF"/>
    <w:rsid w:val="55F87603"/>
    <w:rsid w:val="58374DAF"/>
    <w:rsid w:val="5D1222A5"/>
    <w:rsid w:val="5DC51157"/>
    <w:rsid w:val="5DDD2180"/>
    <w:rsid w:val="5E184102"/>
    <w:rsid w:val="5F6B44D1"/>
    <w:rsid w:val="5FED2C98"/>
    <w:rsid w:val="616A1832"/>
    <w:rsid w:val="621F0E23"/>
    <w:rsid w:val="63FB4662"/>
    <w:rsid w:val="649D5592"/>
    <w:rsid w:val="64E66C73"/>
    <w:rsid w:val="655D35E0"/>
    <w:rsid w:val="66D0169D"/>
    <w:rsid w:val="67CB566B"/>
    <w:rsid w:val="6892505E"/>
    <w:rsid w:val="68E67A95"/>
    <w:rsid w:val="69960473"/>
    <w:rsid w:val="69B1626F"/>
    <w:rsid w:val="6A3F3E1A"/>
    <w:rsid w:val="6A5A63E0"/>
    <w:rsid w:val="6D314983"/>
    <w:rsid w:val="6D387EE7"/>
    <w:rsid w:val="6E3720C5"/>
    <w:rsid w:val="70C82145"/>
    <w:rsid w:val="7124002F"/>
    <w:rsid w:val="7133364D"/>
    <w:rsid w:val="7182595A"/>
    <w:rsid w:val="720B77DF"/>
    <w:rsid w:val="72161365"/>
    <w:rsid w:val="74651606"/>
    <w:rsid w:val="74934A0C"/>
    <w:rsid w:val="75053824"/>
    <w:rsid w:val="79933F60"/>
    <w:rsid w:val="7A2C7E3B"/>
    <w:rsid w:val="7AEA70B6"/>
    <w:rsid w:val="7E7A31C9"/>
    <w:rsid w:val="7EF779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4"/>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4"/>
    <w:autoRedefine/>
    <w:unhideWhenUsed/>
    <w:qFormat/>
    <w:uiPriority w:val="0"/>
    <w:pPr>
      <w:keepNext/>
      <w:keepLines/>
      <w:spacing w:before="260" w:after="260" w:line="660" w:lineRule="exact"/>
      <w:jc w:val="center"/>
      <w:outlineLvl w:val="1"/>
    </w:pPr>
    <w:rPr>
      <w:rFonts w:asciiTheme="majorHAnsi" w:hAnsiTheme="majorHAnsi" w:eastAsiaTheme="majorEastAsia" w:cstheme="majorBidi"/>
      <w:b/>
      <w:bCs/>
      <w:sz w:val="32"/>
      <w:szCs w:val="32"/>
    </w:rPr>
  </w:style>
  <w:style w:type="paragraph" w:styleId="5">
    <w:name w:val="heading 4"/>
    <w:basedOn w:val="1"/>
    <w:next w:val="1"/>
    <w:autoRedefine/>
    <w:semiHidden/>
    <w:unhideWhenUsed/>
    <w:qFormat/>
    <w:uiPriority w:val="0"/>
    <w:pPr>
      <w:spacing w:beforeAutospacing="1" w:afterAutospacing="1"/>
      <w:jc w:val="left"/>
      <w:outlineLvl w:val="3"/>
    </w:pPr>
    <w:rPr>
      <w:rFonts w:hint="eastAsia" w:ascii="宋体" w:hAnsi="宋体"/>
      <w:b/>
      <w:bCs/>
      <w:kern w:val="0"/>
      <w:sz w:val="24"/>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39"/>
    <w:autoRedefine/>
    <w:qFormat/>
    <w:uiPriority w:val="99"/>
    <w:pPr>
      <w:spacing w:after="120"/>
    </w:pPr>
    <w:rPr>
      <w:rFonts w:ascii="Times New Roman" w:hAnsi="Times New Roman"/>
    </w:rPr>
  </w:style>
  <w:style w:type="paragraph" w:styleId="6">
    <w:name w:val="index 8"/>
    <w:basedOn w:val="1"/>
    <w:next w:val="1"/>
    <w:autoRedefine/>
    <w:unhideWhenUsed/>
    <w:qFormat/>
    <w:uiPriority w:val="99"/>
    <w:pPr>
      <w:spacing w:line="276" w:lineRule="auto"/>
      <w:jc w:val="left"/>
    </w:pPr>
    <w:rPr>
      <w:rFonts w:ascii="宋体" w:hAnsi="宋体"/>
      <w:color w:val="FF0000"/>
      <w:szCs w:val="21"/>
    </w:rPr>
  </w:style>
  <w:style w:type="paragraph" w:styleId="7">
    <w:name w:val="Normal Indent"/>
    <w:basedOn w:val="1"/>
    <w:autoRedefine/>
    <w:unhideWhenUsed/>
    <w:qFormat/>
    <w:uiPriority w:val="0"/>
    <w:pPr>
      <w:ind w:firstLine="420" w:firstLineChars="200"/>
    </w:pPr>
    <w:rPr>
      <w:rFonts w:ascii="Times New Roman"/>
      <w:sz w:val="20"/>
    </w:rPr>
  </w:style>
  <w:style w:type="paragraph" w:styleId="8">
    <w:name w:val="annotation text"/>
    <w:basedOn w:val="1"/>
    <w:link w:val="31"/>
    <w:autoRedefine/>
    <w:qFormat/>
    <w:uiPriority w:val="0"/>
    <w:pPr>
      <w:jc w:val="left"/>
    </w:pPr>
    <w:rPr>
      <w:rFonts w:ascii="Times New Roman" w:hAnsi="Times New Roman"/>
    </w:rPr>
  </w:style>
  <w:style w:type="paragraph" w:styleId="9">
    <w:name w:val="Body Text Indent"/>
    <w:basedOn w:val="1"/>
    <w:autoRedefine/>
    <w:qFormat/>
    <w:uiPriority w:val="0"/>
    <w:pPr>
      <w:ind w:firstLine="568" w:firstLineChars="203"/>
    </w:pPr>
    <w:rPr>
      <w:sz w:val="28"/>
    </w:rPr>
  </w:style>
  <w:style w:type="paragraph" w:styleId="10">
    <w:name w:val="toc 3"/>
    <w:basedOn w:val="1"/>
    <w:next w:val="1"/>
    <w:autoRedefine/>
    <w:qFormat/>
    <w:uiPriority w:val="39"/>
    <w:pPr>
      <w:ind w:left="840" w:leftChars="400"/>
    </w:pPr>
  </w:style>
  <w:style w:type="paragraph" w:styleId="11">
    <w:name w:val="Plain Text"/>
    <w:basedOn w:val="1"/>
    <w:link w:val="35"/>
    <w:autoRedefine/>
    <w:qFormat/>
    <w:uiPriority w:val="0"/>
    <w:rPr>
      <w:rFonts w:ascii="宋体" w:hAnsi="Courier New"/>
    </w:rPr>
  </w:style>
  <w:style w:type="paragraph" w:styleId="12">
    <w:name w:val="Body Text Indent 2"/>
    <w:basedOn w:val="1"/>
    <w:link w:val="51"/>
    <w:autoRedefine/>
    <w:semiHidden/>
    <w:unhideWhenUsed/>
    <w:qFormat/>
    <w:uiPriority w:val="0"/>
    <w:pPr>
      <w:spacing w:after="120" w:line="480" w:lineRule="auto"/>
      <w:ind w:left="420" w:leftChars="200"/>
    </w:pPr>
  </w:style>
  <w:style w:type="paragraph" w:styleId="13">
    <w:name w:val="Balloon Text"/>
    <w:basedOn w:val="1"/>
    <w:link w:val="32"/>
    <w:autoRedefine/>
    <w:qFormat/>
    <w:uiPriority w:val="0"/>
    <w:rPr>
      <w:sz w:val="18"/>
      <w:szCs w:val="18"/>
    </w:rPr>
  </w:style>
  <w:style w:type="paragraph" w:styleId="14">
    <w:name w:val="footer"/>
    <w:basedOn w:val="1"/>
    <w:link w:val="29"/>
    <w:autoRedefine/>
    <w:qFormat/>
    <w:uiPriority w:val="99"/>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autoRedefine/>
    <w:unhideWhenUsed/>
    <w:qFormat/>
    <w:uiPriority w:val="39"/>
  </w:style>
  <w:style w:type="paragraph" w:styleId="17">
    <w:name w:val="toc 2"/>
    <w:basedOn w:val="1"/>
    <w:next w:val="1"/>
    <w:autoRedefine/>
    <w:semiHidden/>
    <w:unhideWhenUsed/>
    <w:qFormat/>
    <w:uiPriority w:val="0"/>
    <w:pPr>
      <w:ind w:left="420" w:leftChars="200"/>
    </w:pPr>
  </w:style>
  <w:style w:type="paragraph" w:styleId="18">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19">
    <w:name w:val="Title"/>
    <w:basedOn w:val="1"/>
    <w:link w:val="41"/>
    <w:autoRedefine/>
    <w:qFormat/>
    <w:uiPriority w:val="0"/>
    <w:pPr>
      <w:spacing w:before="240" w:after="60"/>
      <w:jc w:val="center"/>
      <w:outlineLvl w:val="0"/>
    </w:pPr>
    <w:rPr>
      <w:rFonts w:eastAsia="方正小标宋简体" w:asciiTheme="majorAscii" w:hAnsiTheme="majorAscii" w:cstheme="majorBidi"/>
      <w:b/>
      <w:bCs/>
      <w:sz w:val="36"/>
      <w:szCs w:val="32"/>
    </w:rPr>
  </w:style>
  <w:style w:type="paragraph" w:styleId="20">
    <w:name w:val="Body Text First Indent"/>
    <w:basedOn w:val="2"/>
    <w:autoRedefine/>
    <w:qFormat/>
    <w:uiPriority w:val="0"/>
    <w:pPr>
      <w:ind w:firstLine="420" w:firstLineChars="100"/>
    </w:pPr>
  </w:style>
  <w:style w:type="table" w:styleId="22">
    <w:name w:val="Table Grid"/>
    <w:basedOn w:val="2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autoRedefine/>
    <w:qFormat/>
    <w:uiPriority w:val="22"/>
    <w:rPr>
      <w:b/>
      <w:bCs/>
    </w:rPr>
  </w:style>
  <w:style w:type="character" w:styleId="25">
    <w:name w:val="Hyperlink"/>
    <w:basedOn w:val="23"/>
    <w:autoRedefine/>
    <w:unhideWhenUsed/>
    <w:qFormat/>
    <w:uiPriority w:val="99"/>
    <w:rPr>
      <w:color w:val="0000FF" w:themeColor="hyperlink"/>
      <w:u w:val="single"/>
      <w14:textFill>
        <w14:solidFill>
          <w14:schemeClr w14:val="hlink"/>
        </w14:solidFill>
      </w14:textFill>
    </w:rPr>
  </w:style>
  <w:style w:type="character" w:styleId="26">
    <w:name w:val="annotation reference"/>
    <w:basedOn w:val="23"/>
    <w:autoRedefine/>
    <w:qFormat/>
    <w:uiPriority w:val="0"/>
    <w:rPr>
      <w:sz w:val="21"/>
      <w:szCs w:val="21"/>
    </w:rPr>
  </w:style>
  <w:style w:type="paragraph" w:customStyle="1" w:styleId="27">
    <w:name w:val="段落正文"/>
    <w:basedOn w:val="1"/>
    <w:autoRedefine/>
    <w:qFormat/>
    <w:uiPriority w:val="0"/>
    <w:pPr>
      <w:spacing w:beforeLines="50" w:line="360" w:lineRule="auto"/>
      <w:ind w:firstLine="200" w:firstLineChars="200"/>
    </w:pPr>
    <w:rPr>
      <w:spacing w:val="2"/>
      <w:sz w:val="24"/>
      <w:szCs w:val="20"/>
    </w:rPr>
  </w:style>
  <w:style w:type="paragraph" w:styleId="28">
    <w:name w:val="Quote"/>
    <w:basedOn w:val="1"/>
    <w:next w:val="1"/>
    <w:link w:val="40"/>
    <w:autoRedefine/>
    <w:semiHidden/>
    <w:unhideWhenUsed/>
    <w:qFormat/>
    <w:uiPriority w:val="99"/>
    <w:rPr>
      <w:i/>
      <w:iCs/>
      <w:color w:val="000000" w:themeColor="text1"/>
      <w14:textFill>
        <w14:solidFill>
          <w14:schemeClr w14:val="tx1"/>
        </w14:solidFill>
      </w14:textFill>
    </w:rPr>
  </w:style>
  <w:style w:type="character" w:customStyle="1" w:styleId="29">
    <w:name w:val="页脚 Char"/>
    <w:link w:val="14"/>
    <w:autoRedefine/>
    <w:qFormat/>
    <w:uiPriority w:val="99"/>
    <w:rPr>
      <w:kern w:val="2"/>
      <w:sz w:val="18"/>
      <w:szCs w:val="24"/>
    </w:rPr>
  </w:style>
  <w:style w:type="paragraph" w:customStyle="1" w:styleId="30">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1">
    <w:name w:val="批注文字 Char"/>
    <w:basedOn w:val="23"/>
    <w:link w:val="8"/>
    <w:autoRedefine/>
    <w:qFormat/>
    <w:uiPriority w:val="0"/>
    <w:rPr>
      <w:rFonts w:ascii="Times New Roman" w:hAnsi="Times New Roman"/>
      <w:kern w:val="2"/>
      <w:sz w:val="21"/>
      <w:szCs w:val="24"/>
    </w:rPr>
  </w:style>
  <w:style w:type="character" w:customStyle="1" w:styleId="32">
    <w:name w:val="批注框文本 Char"/>
    <w:basedOn w:val="23"/>
    <w:link w:val="13"/>
    <w:autoRedefine/>
    <w:qFormat/>
    <w:uiPriority w:val="0"/>
    <w:rPr>
      <w:kern w:val="2"/>
      <w:sz w:val="18"/>
      <w:szCs w:val="18"/>
    </w:rPr>
  </w:style>
  <w:style w:type="character" w:customStyle="1" w:styleId="33">
    <w:name w:val="apple-converted-space"/>
    <w:basedOn w:val="23"/>
    <w:autoRedefine/>
    <w:qFormat/>
    <w:uiPriority w:val="0"/>
  </w:style>
  <w:style w:type="character" w:customStyle="1" w:styleId="34">
    <w:name w:val="标题 1 Char"/>
    <w:basedOn w:val="23"/>
    <w:link w:val="3"/>
    <w:autoRedefine/>
    <w:qFormat/>
    <w:uiPriority w:val="0"/>
    <w:rPr>
      <w:b/>
      <w:bCs/>
      <w:kern w:val="44"/>
      <w:sz w:val="44"/>
      <w:szCs w:val="44"/>
    </w:rPr>
  </w:style>
  <w:style w:type="character" w:customStyle="1" w:styleId="35">
    <w:name w:val="纯文本 Char"/>
    <w:basedOn w:val="23"/>
    <w:link w:val="11"/>
    <w:autoRedefine/>
    <w:qFormat/>
    <w:uiPriority w:val="0"/>
    <w:rPr>
      <w:rFonts w:ascii="宋体" w:hAnsi="Courier New"/>
      <w:kern w:val="2"/>
      <w:sz w:val="21"/>
      <w:szCs w:val="24"/>
    </w:rPr>
  </w:style>
  <w:style w:type="paragraph" w:customStyle="1" w:styleId="36">
    <w:name w:val="_Style 2"/>
    <w:basedOn w:val="1"/>
    <w:autoRedefine/>
    <w:qFormat/>
    <w:uiPriority w:val="0"/>
    <w:pPr>
      <w:ind w:firstLine="420" w:firstLineChars="200"/>
    </w:pPr>
    <w:rPr>
      <w:sz w:val="18"/>
      <w:szCs w:val="18"/>
    </w:rPr>
  </w:style>
  <w:style w:type="paragraph" w:customStyle="1" w:styleId="37">
    <w:name w:val="样式 首行缩进:  2 字符"/>
    <w:basedOn w:val="1"/>
    <w:autoRedefine/>
    <w:qFormat/>
    <w:uiPriority w:val="0"/>
    <w:pPr>
      <w:spacing w:line="400" w:lineRule="exact"/>
      <w:ind w:firstLine="200" w:firstLineChars="200"/>
    </w:pPr>
    <w:rPr>
      <w:rFonts w:cs="宋体"/>
      <w:sz w:val="24"/>
    </w:rPr>
  </w:style>
  <w:style w:type="paragraph" w:styleId="38">
    <w:name w:val="List Paragraph"/>
    <w:basedOn w:val="1"/>
    <w:autoRedefine/>
    <w:unhideWhenUsed/>
    <w:qFormat/>
    <w:uiPriority w:val="1"/>
    <w:pPr>
      <w:ind w:firstLine="420" w:firstLineChars="200"/>
    </w:pPr>
  </w:style>
  <w:style w:type="character" w:customStyle="1" w:styleId="39">
    <w:name w:val="正文文本 Char"/>
    <w:basedOn w:val="23"/>
    <w:link w:val="2"/>
    <w:autoRedefine/>
    <w:qFormat/>
    <w:uiPriority w:val="99"/>
    <w:rPr>
      <w:rFonts w:ascii="Times New Roman" w:hAnsi="Times New Roman"/>
      <w:kern w:val="2"/>
      <w:sz w:val="21"/>
      <w:szCs w:val="24"/>
    </w:rPr>
  </w:style>
  <w:style w:type="character" w:customStyle="1" w:styleId="40">
    <w:name w:val="引用 Char"/>
    <w:basedOn w:val="23"/>
    <w:link w:val="28"/>
    <w:autoRedefine/>
    <w:semiHidden/>
    <w:qFormat/>
    <w:uiPriority w:val="99"/>
    <w:rPr>
      <w:i/>
      <w:iCs/>
      <w:color w:val="000000" w:themeColor="text1"/>
      <w:kern w:val="2"/>
      <w:sz w:val="21"/>
      <w:szCs w:val="24"/>
      <w14:textFill>
        <w14:solidFill>
          <w14:schemeClr w14:val="tx1"/>
        </w14:solidFill>
      </w14:textFill>
    </w:rPr>
  </w:style>
  <w:style w:type="character" w:customStyle="1" w:styleId="41">
    <w:name w:val="标题 Char"/>
    <w:basedOn w:val="23"/>
    <w:link w:val="19"/>
    <w:autoRedefine/>
    <w:qFormat/>
    <w:uiPriority w:val="0"/>
    <w:rPr>
      <w:rFonts w:eastAsia="方正小标宋简体" w:asciiTheme="majorAscii" w:hAnsiTheme="majorAscii" w:cstheme="majorBidi"/>
      <w:b/>
      <w:bCs/>
      <w:kern w:val="2"/>
      <w:sz w:val="36"/>
      <w:szCs w:val="32"/>
    </w:rPr>
  </w:style>
  <w:style w:type="paragraph" w:customStyle="1" w:styleId="42">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3">
    <w:name w:val="WPSOffice手动目录 1"/>
    <w:autoRedefine/>
    <w:qFormat/>
    <w:uiPriority w:val="0"/>
    <w:rPr>
      <w:rFonts w:ascii="Calibri" w:hAnsi="Calibri" w:eastAsia="宋体" w:cs="Times New Roman"/>
      <w:lang w:val="en-US" w:eastAsia="zh-CN" w:bidi="ar-SA"/>
    </w:rPr>
  </w:style>
  <w:style w:type="paragraph" w:customStyle="1" w:styleId="44">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5">
    <w:name w:val="Default"/>
    <w:link w:val="46"/>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6">
    <w:name w:val="Default Char"/>
    <w:link w:val="45"/>
    <w:autoRedefine/>
    <w:qFormat/>
    <w:uiPriority w:val="0"/>
    <w:rPr>
      <w:rFonts w:ascii="楷体à.ā" w:hAnsi="Times New Roman" w:eastAsia="楷体à.ā"/>
      <w:color w:val="000000"/>
      <w:sz w:val="24"/>
      <w:szCs w:val="22"/>
    </w:rPr>
  </w:style>
  <w:style w:type="character" w:customStyle="1" w:styleId="47">
    <w:name w:val="标题 2 Char"/>
    <w:basedOn w:val="23"/>
    <w:link w:val="4"/>
    <w:autoRedefine/>
    <w:qFormat/>
    <w:uiPriority w:val="0"/>
    <w:rPr>
      <w:rFonts w:asciiTheme="majorHAnsi" w:hAnsiTheme="majorHAnsi" w:eastAsiaTheme="majorEastAsia" w:cstheme="majorBidi"/>
      <w:b/>
      <w:bCs/>
      <w:kern w:val="2"/>
      <w:sz w:val="32"/>
      <w:szCs w:val="32"/>
    </w:rPr>
  </w:style>
  <w:style w:type="paragraph" w:customStyle="1" w:styleId="48">
    <w:name w:val="null3"/>
    <w:autoRedefine/>
    <w:hidden/>
    <w:qFormat/>
    <w:uiPriority w:val="0"/>
    <w:rPr>
      <w:rFonts w:hint="eastAsia" w:asciiTheme="minorHAnsi" w:hAnsiTheme="minorHAnsi" w:eastAsiaTheme="minorEastAsia" w:cstheme="minorBidi"/>
      <w:lang w:val="en-US" w:eastAsia="zh-CN" w:bidi="ar-SA"/>
    </w:rPr>
  </w:style>
  <w:style w:type="paragraph" w:customStyle="1" w:styleId="49">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0">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1">
    <w:name w:val="正文文本缩进 2 Char"/>
    <w:basedOn w:val="23"/>
    <w:link w:val="12"/>
    <w:autoRedefine/>
    <w:semiHidden/>
    <w:qFormat/>
    <w:uiPriority w:val="0"/>
    <w:rPr>
      <w:kern w:val="2"/>
      <w:sz w:val="21"/>
      <w:szCs w:val="24"/>
    </w:rPr>
  </w:style>
  <w:style w:type="paragraph" w:customStyle="1" w:styleId="52">
    <w:name w:val="正文首行缩进两字符"/>
    <w:basedOn w:val="1"/>
    <w:autoRedefine/>
    <w:qFormat/>
    <w:uiPriority w:val="0"/>
    <w:pPr>
      <w:spacing w:line="360" w:lineRule="auto"/>
      <w:ind w:firstLine="200" w:firstLineChars="200"/>
    </w:pPr>
  </w:style>
  <w:style w:type="character" w:customStyle="1" w:styleId="53">
    <w:name w:val="NormalCharacter"/>
    <w:autoRedefine/>
    <w:semiHidden/>
    <w:qFormat/>
    <w:uiPriority w:val="0"/>
    <w:rPr>
      <w:rFonts w:ascii="宋体" w:hAnsi="宋体" w:eastAsia="宋体" w:cs="宋体"/>
      <w:sz w:val="22"/>
      <w:szCs w:val="22"/>
      <w:lang w:val="zh-CN" w:eastAsia="zh-CN" w:bidi="zh-CN"/>
    </w:rPr>
  </w:style>
  <w:style w:type="character" w:customStyle="1" w:styleId="54">
    <w:name w:val="标题 2 字符"/>
    <w:basedOn w:val="23"/>
    <w:link w:val="4"/>
    <w:autoRedefine/>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11269</Words>
  <Characters>11624</Characters>
  <Lines>92</Lines>
  <Paragraphs>25</Paragraphs>
  <TotalTime>15</TotalTime>
  <ScaleCrop>false</ScaleCrop>
  <LinksUpToDate>false</LinksUpToDate>
  <CharactersWithSpaces>12569</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2024-07-02T10:17:00Z</dcterms:created>
  <dc:creator>Administrator</dc:creator>
  <cp:lastModifiedBy>WPS_1678020566</cp:lastModifiedBy>
  <cp:lastPrinted>2024-07-04T03:21:00Z</cp:lastPrinted>
  <dcterms:modified xsi:type="dcterms:W3CDTF">2024-07-12T03:49:53Z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E1E685AE9E68489BB5982247B39D6D1E_13</vt:lpwstr>
  </property>
</Properties>
</file>