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附件1</w:t>
      </w:r>
    </w:p>
    <w:p>
      <w:pPr>
        <w:widowControl/>
        <w:jc w:val="center"/>
        <w:outlineLvl w:val="1"/>
        <w:rPr>
          <w:rFonts w:hint="eastAsia" w:ascii="方正小标宋简体" w:hAnsi="方正小标宋简体" w:eastAsia="方正小标宋简体" w:cs="方正小标宋简体"/>
          <w:b/>
          <w:kern w:val="36"/>
          <w:sz w:val="44"/>
          <w:szCs w:val="20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kern w:val="36"/>
          <w:sz w:val="44"/>
          <w:szCs w:val="20"/>
          <w:lang w:val="en-US" w:eastAsia="zh-CN"/>
        </w:rPr>
        <w:t>调研</w:t>
      </w:r>
      <w:r>
        <w:rPr>
          <w:rFonts w:hint="eastAsia" w:ascii="方正小标宋简体" w:hAnsi="方正小标宋简体" w:eastAsia="方正小标宋简体" w:cs="方正小标宋简体"/>
          <w:b/>
          <w:kern w:val="36"/>
          <w:sz w:val="44"/>
          <w:szCs w:val="20"/>
          <w:lang w:eastAsia="zh-CN"/>
        </w:rPr>
        <w:t>函</w:t>
      </w:r>
    </w:p>
    <w:p>
      <w:pPr>
        <w:widowControl/>
        <w:spacing w:line="360" w:lineRule="auto"/>
        <w:jc w:val="left"/>
        <w:outlineLvl w:val="1"/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kern w:val="36"/>
          <w:sz w:val="24"/>
          <w:szCs w:val="24"/>
          <w:lang w:eastAsia="zh-CN"/>
        </w:rPr>
        <w:t>各受邀报价单位：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outlineLvl w:val="1"/>
        <w:rPr>
          <w:rFonts w:hint="eastAsia" w:ascii="仿宋_GB2312" w:hAnsi="仿宋_GB2312" w:eastAsia="仿宋_GB2312" w:cs="仿宋_GB2312"/>
          <w:kern w:val="36"/>
          <w:sz w:val="24"/>
          <w:szCs w:val="24"/>
        </w:rPr>
      </w:pPr>
      <w:r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  <w:t>按照我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医院内部相关规定，特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eastAsia="zh-CN"/>
        </w:rPr>
        <w:t>对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以下物件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eastAsia="zh-CN"/>
        </w:rPr>
        <w:t>进行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  <w:t>市场调研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。如有意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eastAsia="zh-CN"/>
        </w:rPr>
        <w:t>报价者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，请按要求在接到询价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eastAsia="zh-CN"/>
        </w:rPr>
        <w:t>函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后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个工作日内填好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eastAsia="zh-CN"/>
        </w:rPr>
        <w:t>下表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，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eastAsia="zh-CN"/>
        </w:rPr>
        <w:t>盖好公章（多页盖骑缝章）后递交到我院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  <w:t>后勤管理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eastAsia="zh-CN"/>
        </w:rPr>
        <w:t>中心或者邮寄到我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院。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outlineLvl w:val="1"/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询价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eastAsia="zh-CN"/>
        </w:rPr>
        <w:t>单位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：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eastAsia="zh-CN"/>
        </w:rPr>
        <w:t>江安县总医院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 xml:space="preserve"> 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 xml:space="preserve">  联系人：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  <w:t>万老师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 xml:space="preserve">    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电话：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  <w:t>0831-2505109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 xml:space="preserve">   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outlineLvl w:val="1"/>
        <w:rPr>
          <w:rFonts w:hint="eastAsia" w:ascii="仿宋_GB2312" w:hAnsi="仿宋_GB2312" w:eastAsia="仿宋_GB2312" w:cs="仿宋_GB2312"/>
          <w:kern w:val="36"/>
          <w:sz w:val="24"/>
          <w:szCs w:val="24"/>
        </w:rPr>
      </w:pP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时间：202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年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月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日</w:t>
      </w:r>
    </w:p>
    <w:tbl>
      <w:tblPr>
        <w:tblStyle w:val="8"/>
        <w:tblpPr w:leftFromText="180" w:rightFromText="180" w:vertAnchor="text" w:horzAnchor="page" w:tblpX="359" w:tblpY="925"/>
        <w:tblOverlap w:val="never"/>
        <w:tblW w:w="114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6"/>
        <w:gridCol w:w="2550"/>
        <w:gridCol w:w="2826"/>
        <w:gridCol w:w="1666"/>
        <w:gridCol w:w="25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1806" w:type="dxa"/>
            <w:noWrap w:val="0"/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  <w:t>公司名称（公章）</w:t>
            </w:r>
          </w:p>
        </w:tc>
        <w:tc>
          <w:tcPr>
            <w:tcW w:w="9632" w:type="dxa"/>
            <w:gridSpan w:val="4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jc w:val="center"/>
        </w:trPr>
        <w:tc>
          <w:tcPr>
            <w:tcW w:w="1806" w:type="dxa"/>
            <w:noWrap w:val="0"/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  <w:t>授权报价人</w:t>
            </w:r>
          </w:p>
        </w:tc>
        <w:tc>
          <w:tcPr>
            <w:tcW w:w="5376" w:type="dxa"/>
            <w:gridSpan w:val="2"/>
            <w:noWrap w:val="0"/>
            <w:vAlign w:val="center"/>
          </w:tcPr>
          <w:p>
            <w:pPr>
              <w:jc w:val="left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  <w:tc>
          <w:tcPr>
            <w:tcW w:w="1666" w:type="dxa"/>
            <w:noWrap w:val="0"/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  <w:t>联系电话</w:t>
            </w:r>
          </w:p>
        </w:tc>
        <w:tc>
          <w:tcPr>
            <w:tcW w:w="2590" w:type="dxa"/>
            <w:noWrap w:val="0"/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jc w:val="center"/>
        </w:trPr>
        <w:tc>
          <w:tcPr>
            <w:tcW w:w="1806" w:type="dxa"/>
            <w:noWrap w:val="0"/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hint="eastAsia" w:ascii="宋体" w:hAnsi="宋体" w:cs="宋体" w:eastAsiaTheme="minorEastAsia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  <w:lang w:val="en-US" w:eastAsia="zh-CN"/>
              </w:rPr>
              <w:t>序号</w:t>
            </w:r>
          </w:p>
        </w:tc>
        <w:tc>
          <w:tcPr>
            <w:tcW w:w="2550" w:type="dxa"/>
            <w:noWrap w:val="0"/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  <w:lang w:val="en-US" w:eastAsia="zh-CN"/>
              </w:rPr>
              <w:t>名称</w:t>
            </w:r>
          </w:p>
        </w:tc>
        <w:tc>
          <w:tcPr>
            <w:tcW w:w="2826" w:type="dxa"/>
            <w:noWrap w:val="0"/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hint="default" w:ascii="宋体" w:hAnsi="宋体" w:cs="宋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  <w:lang w:val="en-US" w:eastAsia="zh-CN"/>
              </w:rPr>
              <w:t>基本需求</w:t>
            </w:r>
          </w:p>
        </w:tc>
        <w:tc>
          <w:tcPr>
            <w:tcW w:w="1666" w:type="dxa"/>
            <w:noWrap w:val="0"/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hint="eastAsia" w:ascii="宋体" w:hAnsi="宋体" w:cs="宋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  <w:lang w:val="en-US" w:eastAsia="zh-CN"/>
              </w:rPr>
              <w:t>数量</w:t>
            </w:r>
          </w:p>
        </w:tc>
        <w:tc>
          <w:tcPr>
            <w:tcW w:w="2590" w:type="dxa"/>
            <w:noWrap w:val="0"/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hint="default" w:ascii="宋体" w:hAnsi="宋体" w:cs="宋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  <w:lang w:val="en-US" w:eastAsia="zh-CN"/>
              </w:rPr>
              <w:t>最高预算单价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jc w:val="center"/>
        </w:trPr>
        <w:tc>
          <w:tcPr>
            <w:tcW w:w="18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jc w:val="left"/>
              <w:textAlignment w:val="auto"/>
              <w:outlineLvl w:val="1"/>
              <w:rPr>
                <w:rFonts w:hint="eastAsia" w:ascii="仿宋_GB2312" w:hAnsi="仿宋_GB2312" w:eastAsia="仿宋_GB2312" w:cs="仿宋_GB2312"/>
                <w:kern w:val="36"/>
                <w:sz w:val="24"/>
                <w:szCs w:val="24"/>
                <w:lang w:val="en-US" w:eastAsia="zh-CN"/>
              </w:rPr>
            </w:pPr>
          </w:p>
        </w:tc>
        <w:tc>
          <w:tcPr>
            <w:tcW w:w="25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jc w:val="left"/>
              <w:textAlignment w:val="auto"/>
              <w:outlineLvl w:val="1"/>
              <w:rPr>
                <w:rFonts w:hint="eastAsia" w:ascii="仿宋_GB2312" w:hAnsi="仿宋_GB2312" w:eastAsia="仿宋_GB2312" w:cs="仿宋_GB2312"/>
                <w:kern w:val="36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36"/>
                <w:sz w:val="24"/>
                <w:szCs w:val="24"/>
              </w:rPr>
              <w:t>超声雾化熏洗机</w:t>
            </w:r>
          </w:p>
        </w:tc>
        <w:tc>
          <w:tcPr>
            <w:tcW w:w="282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jc w:val="left"/>
              <w:textAlignment w:val="auto"/>
              <w:outlineLvl w:val="1"/>
              <w:rPr>
                <w:rFonts w:hint="eastAsia" w:ascii="仿宋_GB2312" w:hAnsi="仿宋_GB2312" w:eastAsia="仿宋_GB2312" w:cs="仿宋_GB2312"/>
                <w:kern w:val="36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jc w:val="left"/>
              <w:textAlignment w:val="auto"/>
              <w:outlineLvl w:val="1"/>
              <w:rPr>
                <w:rFonts w:hint="default" w:ascii="仿宋_GB2312" w:hAnsi="仿宋_GB2312" w:eastAsia="仿宋_GB2312" w:cs="仿宋_GB2312"/>
                <w:kern w:val="36"/>
                <w:sz w:val="24"/>
                <w:szCs w:val="24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kern w:val="36"/>
                <w:sz w:val="24"/>
                <w:szCs w:val="24"/>
                <w:lang w:val="en-US" w:eastAsia="zh-CN"/>
              </w:rPr>
              <w:t>带双超声雾化作用于肛熏、马桶式。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jc w:val="left"/>
              <w:textAlignment w:val="auto"/>
              <w:outlineLvl w:val="1"/>
              <w:rPr>
                <w:rFonts w:hint="default" w:ascii="仿宋_GB2312" w:hAnsi="仿宋_GB2312" w:eastAsia="仿宋_GB2312" w:cs="仿宋_GB2312"/>
                <w:kern w:val="36"/>
                <w:sz w:val="24"/>
                <w:szCs w:val="24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kern w:val="36"/>
                <w:sz w:val="24"/>
                <w:szCs w:val="24"/>
                <w:lang w:val="en-US" w:eastAsia="zh-CN"/>
              </w:rPr>
              <w:t>不接受专机耗材。</w:t>
            </w:r>
          </w:p>
        </w:tc>
        <w:tc>
          <w:tcPr>
            <w:tcW w:w="16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jc w:val="left"/>
              <w:textAlignment w:val="auto"/>
              <w:outlineLvl w:val="1"/>
              <w:rPr>
                <w:rFonts w:hint="default" w:ascii="仿宋_GB2312" w:hAnsi="仿宋_GB2312" w:eastAsia="仿宋_GB2312" w:cs="仿宋_GB2312"/>
                <w:kern w:val="36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36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5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jc w:val="left"/>
              <w:textAlignment w:val="auto"/>
              <w:outlineLvl w:val="1"/>
              <w:rPr>
                <w:rFonts w:hint="default" w:ascii="仿宋_GB2312" w:hAnsi="仿宋_GB2312" w:eastAsia="仿宋_GB2312" w:cs="仿宋_GB2312"/>
                <w:kern w:val="36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36"/>
                <w:sz w:val="24"/>
                <w:szCs w:val="24"/>
                <w:lang w:val="en-US" w:eastAsia="zh-CN"/>
              </w:rPr>
              <w:t>25000台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jc w:val="center"/>
        </w:trPr>
        <w:tc>
          <w:tcPr>
            <w:tcW w:w="18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jc w:val="left"/>
              <w:textAlignment w:val="auto"/>
              <w:outlineLvl w:val="1"/>
              <w:rPr>
                <w:rFonts w:hint="eastAsia" w:ascii="仿宋_GB2312" w:hAnsi="仿宋_GB2312" w:eastAsia="仿宋_GB2312" w:cs="仿宋_GB2312"/>
                <w:kern w:val="36"/>
                <w:sz w:val="24"/>
                <w:szCs w:val="24"/>
                <w:lang w:val="en-US" w:eastAsia="zh-CN"/>
              </w:rPr>
            </w:pPr>
          </w:p>
        </w:tc>
        <w:tc>
          <w:tcPr>
            <w:tcW w:w="25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jc w:val="left"/>
              <w:textAlignment w:val="auto"/>
              <w:outlineLvl w:val="1"/>
              <w:rPr>
                <w:rFonts w:hint="eastAsia" w:ascii="仿宋_GB2312" w:hAnsi="仿宋_GB2312" w:eastAsia="仿宋_GB2312" w:cs="仿宋_GB2312"/>
                <w:kern w:val="36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36"/>
                <w:sz w:val="24"/>
                <w:szCs w:val="24"/>
                <w:lang w:val="en-US" w:eastAsia="zh-CN"/>
              </w:rPr>
              <w:t>床旁</w:t>
            </w:r>
            <w:r>
              <w:rPr>
                <w:rFonts w:hint="eastAsia" w:ascii="仿宋_GB2312" w:hAnsi="仿宋_GB2312" w:eastAsia="仿宋_GB2312" w:cs="仿宋_GB2312"/>
                <w:kern w:val="36"/>
                <w:sz w:val="24"/>
                <w:szCs w:val="24"/>
              </w:rPr>
              <w:t>心电监护仪</w:t>
            </w:r>
          </w:p>
        </w:tc>
        <w:tc>
          <w:tcPr>
            <w:tcW w:w="282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outlineLvl w:val="1"/>
              <w:rPr>
                <w:rFonts w:hint="default" w:ascii="仿宋_GB2312" w:hAnsi="仿宋_GB2312" w:eastAsia="仿宋_GB2312" w:cs="仿宋_GB2312"/>
                <w:kern w:val="36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36"/>
                <w:sz w:val="24"/>
                <w:szCs w:val="24"/>
                <w:lang w:val="en-US" w:eastAsia="zh-CN"/>
              </w:rPr>
              <w:t>1.监护仪外形结构：</w:t>
            </w:r>
            <w:r>
              <w:rPr>
                <w:rFonts w:hint="eastAsia" w:ascii="仿宋_GB2312" w:hAnsi="仿宋_GB2312" w:eastAsia="仿宋_GB2312" w:cs="仿宋_GB2312"/>
                <w:kern w:val="36"/>
                <w:sz w:val="24"/>
                <w:szCs w:val="24"/>
                <w:lang w:val="en-US" w:eastAsia="zh-CN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36"/>
                <w:sz w:val="24"/>
                <w:szCs w:val="24"/>
                <w:lang w:val="en-US" w:eastAsia="zh-CN"/>
              </w:rPr>
              <w:t>1.1、便携一体式监护仪,可用于监护成人,儿童,新生儿患者</w:t>
            </w:r>
            <w:r>
              <w:rPr>
                <w:rFonts w:hint="eastAsia" w:ascii="仿宋_GB2312" w:hAnsi="仿宋_GB2312" w:eastAsia="仿宋_GB2312" w:cs="仿宋_GB2312"/>
                <w:kern w:val="36"/>
                <w:sz w:val="24"/>
                <w:szCs w:val="24"/>
                <w:lang w:val="en-US" w:eastAsia="zh-CN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36"/>
                <w:sz w:val="24"/>
                <w:szCs w:val="24"/>
                <w:lang w:val="en-US" w:eastAsia="zh-CN"/>
              </w:rPr>
              <w:t>1.2、≥12.1寸彩色LED背光液晶显示屏，彩色高分辨率达800*600，8通道波形显示</w:t>
            </w:r>
            <w:r>
              <w:rPr>
                <w:rFonts w:hint="eastAsia" w:ascii="仿宋_GB2312" w:hAnsi="仿宋_GB2312" w:eastAsia="仿宋_GB2312" w:cs="仿宋_GB2312"/>
                <w:kern w:val="36"/>
                <w:sz w:val="24"/>
                <w:szCs w:val="24"/>
                <w:lang w:val="en-US" w:eastAsia="zh-CN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36"/>
                <w:sz w:val="24"/>
                <w:szCs w:val="24"/>
                <w:lang w:val="en-US" w:eastAsia="zh-CN"/>
              </w:rPr>
              <w:t>2.监测参数：</w:t>
            </w:r>
            <w:r>
              <w:rPr>
                <w:rFonts w:hint="eastAsia" w:ascii="仿宋_GB2312" w:hAnsi="仿宋_GB2312" w:eastAsia="仿宋_GB2312" w:cs="仿宋_GB2312"/>
                <w:kern w:val="36"/>
                <w:sz w:val="24"/>
                <w:szCs w:val="24"/>
                <w:lang w:val="en-US" w:eastAsia="zh-CN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36"/>
                <w:sz w:val="24"/>
                <w:szCs w:val="24"/>
                <w:lang w:val="en-US" w:eastAsia="zh-CN"/>
              </w:rPr>
              <w:t>2.1、标准配置可监测心电，呼吸，无创血压，血氧饱和度，脉搏和体温</w:t>
            </w:r>
            <w:r>
              <w:rPr>
                <w:rFonts w:hint="eastAsia" w:ascii="仿宋_GB2312" w:hAnsi="仿宋_GB2312" w:eastAsia="仿宋_GB2312" w:cs="仿宋_GB2312"/>
                <w:kern w:val="36"/>
                <w:sz w:val="24"/>
                <w:szCs w:val="24"/>
                <w:lang w:val="en-US" w:eastAsia="zh-CN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36"/>
                <w:sz w:val="24"/>
                <w:szCs w:val="24"/>
                <w:lang w:val="en-US" w:eastAsia="zh-CN"/>
              </w:rPr>
              <w:t>2.2、采用ECG多导同步分析专利技术，保证心电监护的优异性</w:t>
            </w:r>
            <w:r>
              <w:rPr>
                <w:rFonts w:hint="eastAsia" w:ascii="仿宋_GB2312" w:hAnsi="仿宋_GB2312" w:eastAsia="仿宋_GB2312" w:cs="仿宋_GB2312"/>
                <w:kern w:val="36"/>
                <w:sz w:val="24"/>
                <w:szCs w:val="24"/>
                <w:lang w:val="en-US" w:eastAsia="zh-CN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36"/>
                <w:sz w:val="24"/>
                <w:szCs w:val="24"/>
                <w:lang w:val="en-US" w:eastAsia="zh-CN"/>
              </w:rPr>
              <w:t>2.3提供动态血压分析界面，包括平均血压、白天平均血压、夜间平均血压、最高血压、最低血压和正常血压比例等，直观快速了解过去24小时患者血压变化和分布情况。</w:t>
            </w:r>
            <w:r>
              <w:rPr>
                <w:rFonts w:hint="eastAsia" w:ascii="仿宋_GB2312" w:hAnsi="仿宋_GB2312" w:eastAsia="仿宋_GB2312" w:cs="仿宋_GB2312"/>
                <w:kern w:val="36"/>
                <w:sz w:val="24"/>
                <w:szCs w:val="24"/>
                <w:lang w:val="en-US" w:eastAsia="zh-CN"/>
              </w:rPr>
              <w:br w:type="textWrapping"/>
            </w:r>
          </w:p>
        </w:tc>
        <w:tc>
          <w:tcPr>
            <w:tcW w:w="16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jc w:val="left"/>
              <w:textAlignment w:val="auto"/>
              <w:outlineLvl w:val="1"/>
              <w:rPr>
                <w:rFonts w:hint="default" w:ascii="仿宋_GB2312" w:hAnsi="仿宋_GB2312" w:eastAsia="仿宋_GB2312" w:cs="仿宋_GB2312"/>
                <w:kern w:val="36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36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25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jc w:val="left"/>
              <w:textAlignment w:val="auto"/>
              <w:outlineLvl w:val="1"/>
              <w:rPr>
                <w:rFonts w:hint="default" w:ascii="仿宋_GB2312" w:hAnsi="仿宋_GB2312" w:eastAsia="仿宋_GB2312" w:cs="仿宋_GB2312"/>
                <w:kern w:val="36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36"/>
                <w:sz w:val="24"/>
                <w:szCs w:val="24"/>
                <w:lang w:val="en-US" w:eastAsia="zh-CN"/>
              </w:rPr>
              <w:t>13000台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jc w:val="center"/>
        </w:trPr>
        <w:tc>
          <w:tcPr>
            <w:tcW w:w="18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jc w:val="left"/>
              <w:textAlignment w:val="auto"/>
              <w:outlineLvl w:val="1"/>
              <w:rPr>
                <w:rFonts w:hint="eastAsia" w:ascii="仿宋_GB2312" w:hAnsi="仿宋_GB2312" w:eastAsia="仿宋_GB2312" w:cs="仿宋_GB2312"/>
                <w:kern w:val="36"/>
                <w:sz w:val="24"/>
                <w:szCs w:val="24"/>
                <w:lang w:val="en-US" w:eastAsia="zh-CN"/>
              </w:rPr>
            </w:pPr>
          </w:p>
        </w:tc>
        <w:tc>
          <w:tcPr>
            <w:tcW w:w="25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outlineLvl w:val="1"/>
              <w:rPr>
                <w:rFonts w:hint="eastAsia" w:ascii="仿宋_GB2312" w:hAnsi="仿宋_GB2312" w:eastAsia="仿宋_GB2312" w:cs="仿宋_GB2312"/>
                <w:kern w:val="36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36"/>
                <w:sz w:val="24"/>
                <w:szCs w:val="24"/>
                <w:lang w:val="en-US" w:eastAsia="zh-CN"/>
              </w:rPr>
              <w:t>红黄蓝光谱治疗仪</w:t>
            </w:r>
          </w:p>
        </w:tc>
        <w:tc>
          <w:tcPr>
            <w:tcW w:w="282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outlineLvl w:val="1"/>
              <w:rPr>
                <w:rFonts w:hint="eastAsia" w:ascii="仿宋_GB2312" w:hAnsi="仿宋_GB2312" w:eastAsia="仿宋_GB2312" w:cs="仿宋_GB2312"/>
                <w:kern w:val="36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36"/>
                <w:sz w:val="24"/>
                <w:szCs w:val="24"/>
                <w:lang w:val="en-US" w:eastAsia="zh-CN"/>
              </w:rPr>
              <w:t>采用集成式LED光源，高亮度、高纯度、功率大、寿命长。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outlineLvl w:val="1"/>
              <w:rPr>
                <w:rFonts w:hint="default" w:ascii="仿宋_GB2312" w:hAnsi="仿宋_GB2312" w:eastAsia="仿宋_GB2312" w:cs="仿宋_GB2312"/>
                <w:kern w:val="36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36"/>
                <w:sz w:val="24"/>
                <w:szCs w:val="24"/>
                <w:lang w:val="en-US" w:eastAsia="zh-CN"/>
              </w:rPr>
              <w:t>电动升降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outlineLvl w:val="1"/>
              <w:rPr>
                <w:rFonts w:hint="eastAsia" w:ascii="仿宋_GB2312" w:hAnsi="仿宋_GB2312" w:eastAsia="仿宋_GB2312" w:cs="仿宋_GB2312"/>
                <w:kern w:val="36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36"/>
                <w:sz w:val="24"/>
                <w:szCs w:val="24"/>
                <w:lang w:val="en-US" w:eastAsia="zh-CN"/>
              </w:rPr>
              <w:t>红蓝光双输出（可单独切换光源）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outlineLvl w:val="1"/>
              <w:rPr>
                <w:rFonts w:hint="default" w:ascii="仿宋_GB2312" w:hAnsi="仿宋_GB2312" w:eastAsia="仿宋_GB2312" w:cs="仿宋_GB2312"/>
                <w:kern w:val="36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36"/>
                <w:sz w:val="24"/>
                <w:szCs w:val="24"/>
                <w:lang w:val="en-US" w:eastAsia="zh-CN"/>
              </w:rPr>
              <w:t>输出光功率≥20档</w:t>
            </w:r>
          </w:p>
        </w:tc>
        <w:tc>
          <w:tcPr>
            <w:tcW w:w="16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jc w:val="left"/>
              <w:textAlignment w:val="auto"/>
              <w:outlineLvl w:val="1"/>
              <w:rPr>
                <w:rFonts w:hint="default" w:ascii="仿宋_GB2312" w:hAnsi="仿宋_GB2312" w:eastAsia="仿宋_GB2312" w:cs="仿宋_GB2312"/>
                <w:kern w:val="36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36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5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jc w:val="left"/>
              <w:textAlignment w:val="auto"/>
              <w:outlineLvl w:val="1"/>
              <w:rPr>
                <w:rFonts w:hint="default" w:ascii="仿宋_GB2312" w:hAnsi="仿宋_GB2312" w:eastAsia="仿宋_GB2312" w:cs="仿宋_GB2312"/>
                <w:kern w:val="36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36"/>
                <w:sz w:val="24"/>
                <w:szCs w:val="24"/>
                <w:lang w:val="en-US" w:eastAsia="zh-CN"/>
              </w:rPr>
              <w:t>40000台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jc w:val="center"/>
        </w:trPr>
        <w:tc>
          <w:tcPr>
            <w:tcW w:w="18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jc w:val="left"/>
              <w:textAlignment w:val="auto"/>
              <w:outlineLvl w:val="1"/>
              <w:rPr>
                <w:rFonts w:hint="eastAsia" w:ascii="仿宋_GB2312" w:hAnsi="仿宋_GB2312" w:eastAsia="仿宋_GB2312" w:cs="仿宋_GB2312"/>
                <w:kern w:val="36"/>
                <w:sz w:val="24"/>
                <w:szCs w:val="24"/>
                <w:lang w:val="en-US" w:eastAsia="zh-CN"/>
              </w:rPr>
            </w:pPr>
          </w:p>
        </w:tc>
        <w:tc>
          <w:tcPr>
            <w:tcW w:w="25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jc w:val="left"/>
              <w:textAlignment w:val="auto"/>
              <w:outlineLvl w:val="1"/>
              <w:rPr>
                <w:rFonts w:hint="eastAsia" w:ascii="仿宋_GB2312" w:hAnsi="仿宋_GB2312" w:eastAsia="仿宋_GB2312" w:cs="仿宋_GB2312"/>
                <w:kern w:val="36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36"/>
                <w:sz w:val="24"/>
                <w:szCs w:val="24"/>
                <w:lang w:val="en-US" w:eastAsia="zh-CN"/>
              </w:rPr>
              <w:t>臭氧消毒机</w:t>
            </w:r>
          </w:p>
        </w:tc>
        <w:tc>
          <w:tcPr>
            <w:tcW w:w="282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jc w:val="left"/>
              <w:textAlignment w:val="auto"/>
              <w:outlineLvl w:val="1"/>
              <w:rPr>
                <w:rFonts w:hint="default" w:ascii="仿宋_GB2312" w:hAnsi="仿宋_GB2312" w:eastAsia="仿宋_GB2312" w:cs="仿宋_GB2312"/>
                <w:kern w:val="36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36"/>
                <w:sz w:val="24"/>
                <w:szCs w:val="24"/>
                <w:lang w:val="en-US" w:eastAsia="zh-CN"/>
              </w:rPr>
              <w:t>/</w:t>
            </w:r>
          </w:p>
        </w:tc>
        <w:tc>
          <w:tcPr>
            <w:tcW w:w="16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jc w:val="left"/>
              <w:textAlignment w:val="auto"/>
              <w:outlineLvl w:val="1"/>
              <w:rPr>
                <w:rFonts w:hint="default" w:ascii="仿宋_GB2312" w:hAnsi="仿宋_GB2312" w:eastAsia="仿宋_GB2312" w:cs="仿宋_GB2312"/>
                <w:kern w:val="36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36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5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jc w:val="left"/>
              <w:textAlignment w:val="auto"/>
              <w:outlineLvl w:val="1"/>
              <w:rPr>
                <w:rFonts w:hint="default" w:ascii="仿宋_GB2312" w:hAnsi="仿宋_GB2312" w:eastAsia="仿宋_GB2312" w:cs="仿宋_GB2312"/>
                <w:kern w:val="36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36"/>
                <w:sz w:val="24"/>
                <w:szCs w:val="24"/>
                <w:lang w:val="en-US" w:eastAsia="zh-CN"/>
              </w:rPr>
              <w:t>8000台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jc w:val="center"/>
        </w:trPr>
        <w:tc>
          <w:tcPr>
            <w:tcW w:w="18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jc w:val="left"/>
              <w:textAlignment w:val="auto"/>
              <w:outlineLvl w:val="1"/>
              <w:rPr>
                <w:rFonts w:hint="eastAsia" w:ascii="仿宋_GB2312" w:hAnsi="仿宋_GB2312" w:eastAsia="仿宋_GB2312" w:cs="仿宋_GB2312"/>
                <w:kern w:val="36"/>
                <w:sz w:val="24"/>
                <w:szCs w:val="24"/>
                <w:lang w:val="en-US" w:eastAsia="zh-CN"/>
              </w:rPr>
            </w:pPr>
          </w:p>
        </w:tc>
        <w:tc>
          <w:tcPr>
            <w:tcW w:w="25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jc w:val="left"/>
              <w:textAlignment w:val="auto"/>
              <w:outlineLvl w:val="1"/>
              <w:rPr>
                <w:rFonts w:hint="eastAsia" w:ascii="仿宋_GB2312" w:hAnsi="仿宋_GB2312" w:eastAsia="仿宋_GB2312" w:cs="仿宋_GB2312"/>
                <w:kern w:val="36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36"/>
                <w:sz w:val="24"/>
                <w:szCs w:val="24"/>
                <w:lang w:val="en-US" w:eastAsia="zh-CN"/>
              </w:rPr>
              <w:t>腹腔镜镜头</w:t>
            </w:r>
          </w:p>
        </w:tc>
        <w:tc>
          <w:tcPr>
            <w:tcW w:w="282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outlineLvl w:val="1"/>
              <w:rPr>
                <w:rFonts w:hint="default" w:ascii="仿宋_GB2312" w:hAnsi="仿宋_GB2312" w:eastAsia="仿宋_GB2312" w:cs="仿宋_GB2312"/>
                <w:kern w:val="36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36"/>
                <w:sz w:val="24"/>
                <w:szCs w:val="24"/>
                <w:lang w:val="en-US" w:eastAsia="zh-CN"/>
              </w:rPr>
              <w:t>5毫米；能匹配迈瑞、史赛克、史托斯品牌设备</w:t>
            </w:r>
          </w:p>
        </w:tc>
        <w:tc>
          <w:tcPr>
            <w:tcW w:w="16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jc w:val="left"/>
              <w:textAlignment w:val="auto"/>
              <w:outlineLvl w:val="1"/>
              <w:rPr>
                <w:rFonts w:hint="default" w:ascii="仿宋_GB2312" w:hAnsi="仿宋_GB2312" w:eastAsia="仿宋_GB2312" w:cs="仿宋_GB2312"/>
                <w:kern w:val="36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36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5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jc w:val="left"/>
              <w:textAlignment w:val="auto"/>
              <w:outlineLvl w:val="1"/>
              <w:rPr>
                <w:rFonts w:hint="default" w:ascii="仿宋_GB2312" w:hAnsi="仿宋_GB2312" w:eastAsia="仿宋_GB2312" w:cs="仿宋_GB2312"/>
                <w:kern w:val="36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36"/>
                <w:sz w:val="24"/>
                <w:szCs w:val="24"/>
                <w:lang w:val="en-US" w:eastAsia="zh-CN"/>
              </w:rPr>
              <w:t>/</w:t>
            </w:r>
            <w:bookmarkStart w:id="0" w:name="_GoBack"/>
            <w:bookmarkEnd w:id="0"/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outlineLvl w:val="1"/>
        <w:rPr>
          <w:rFonts w:hint="default" w:ascii="仿宋_GB2312" w:hAnsi="仿宋_GB2312" w:eastAsia="仿宋_GB2312" w:cs="仿宋_GB2312"/>
          <w:b/>
          <w:kern w:val="36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询价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eastAsia="zh-CN"/>
        </w:rPr>
        <w:t>名称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：江安县总医院（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  <w:t>阳春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分院）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  <w:t>彩超机市场调研</w:t>
      </w:r>
    </w:p>
    <w:p>
      <w:pPr>
        <w:widowControl/>
        <w:snapToGrid w:val="0"/>
        <w:spacing w:line="240" w:lineRule="auto"/>
        <w:jc w:val="left"/>
        <w:textAlignment w:val="baseline"/>
        <w:rPr>
          <w:rFonts w:hint="eastAsia" w:ascii="宋体" w:hAnsi="宋体" w:cs="宋体"/>
          <w:b/>
          <w:kern w:val="0"/>
          <w:sz w:val="24"/>
          <w:szCs w:val="24"/>
        </w:rPr>
      </w:pPr>
      <w:r>
        <w:rPr>
          <w:rFonts w:hint="eastAsia" w:ascii="宋体" w:hAnsi="宋体" w:cs="宋体"/>
          <w:b/>
          <w:kern w:val="0"/>
          <w:sz w:val="24"/>
          <w:szCs w:val="24"/>
        </w:rPr>
        <w:t>填报须知:</w:t>
      </w:r>
    </w:p>
    <w:p>
      <w:pPr>
        <w:pStyle w:val="2"/>
        <w:rPr>
          <w:rFonts w:hint="eastAsia" w:ascii="宋体" w:hAnsi="宋体" w:cs="宋体"/>
          <w:b/>
          <w:kern w:val="0"/>
          <w:sz w:val="24"/>
          <w:szCs w:val="24"/>
        </w:rPr>
      </w:pPr>
    </w:p>
    <w:p>
      <w:pPr>
        <w:pStyle w:val="3"/>
        <w:ind w:left="0" w:leftChars="0" w:firstLine="0" w:firstLineChars="0"/>
        <w:jc w:val="both"/>
        <w:rPr>
          <w:rFonts w:hint="eastAsia" w:ascii="宋体" w:hAnsi="宋体" w:cs="宋体"/>
          <w:b/>
          <w:kern w:val="0"/>
          <w:sz w:val="24"/>
          <w:szCs w:val="24"/>
        </w:rPr>
      </w:pPr>
    </w:p>
    <w:p>
      <w:pPr>
        <w:widowControl/>
        <w:spacing w:line="240" w:lineRule="auto"/>
        <w:ind w:firstLine="482" w:firstLineChars="200"/>
        <w:jc w:val="left"/>
        <w:rPr>
          <w:rFonts w:ascii="宋体" w:hAnsi="宋体" w:cs="宋体"/>
          <w:b/>
          <w:kern w:val="0"/>
          <w:sz w:val="24"/>
          <w:szCs w:val="24"/>
        </w:rPr>
      </w:pPr>
      <w:r>
        <w:rPr>
          <w:rFonts w:hint="eastAsia" w:ascii="宋体" w:hAnsi="宋体" w:cs="宋体"/>
          <w:b/>
          <w:kern w:val="0"/>
          <w:sz w:val="24"/>
          <w:szCs w:val="24"/>
        </w:rPr>
        <w:t>1</w:t>
      </w:r>
      <w:r>
        <w:rPr>
          <w:rFonts w:hint="eastAsia" w:ascii="宋体" w:hAnsi="宋体" w:cs="宋体"/>
          <w:b/>
          <w:kern w:val="0"/>
          <w:sz w:val="24"/>
          <w:szCs w:val="24"/>
          <w:lang w:eastAsia="zh-CN"/>
        </w:rPr>
        <w:t>.</w:t>
      </w:r>
      <w:r>
        <w:rPr>
          <w:rFonts w:hint="eastAsia" w:ascii="宋体" w:hAnsi="宋体" w:cs="宋体"/>
          <w:b/>
          <w:kern w:val="0"/>
          <w:sz w:val="24"/>
          <w:szCs w:val="24"/>
        </w:rPr>
        <w:t>以上内容必须全部填写完整，否则视为无效。</w:t>
      </w:r>
    </w:p>
    <w:p>
      <w:pPr>
        <w:widowControl/>
        <w:spacing w:line="240" w:lineRule="auto"/>
        <w:ind w:firstLine="482" w:firstLineChars="200"/>
        <w:jc w:val="left"/>
        <w:rPr>
          <w:rFonts w:hint="eastAsia" w:ascii="宋体" w:hAnsi="宋体" w:cs="宋体"/>
          <w:b/>
          <w:kern w:val="0"/>
          <w:sz w:val="24"/>
          <w:szCs w:val="24"/>
        </w:rPr>
      </w:pPr>
      <w:r>
        <w:rPr>
          <w:rFonts w:hint="eastAsia" w:ascii="宋体" w:hAnsi="宋体" w:cs="宋体"/>
          <w:b/>
          <w:kern w:val="0"/>
          <w:sz w:val="24"/>
          <w:szCs w:val="24"/>
          <w:lang w:val="en-US" w:eastAsia="zh-CN"/>
        </w:rPr>
        <w:t>2.</w:t>
      </w:r>
      <w:r>
        <w:rPr>
          <w:rFonts w:hint="eastAsia" w:ascii="宋体" w:hAnsi="宋体" w:cs="宋体"/>
          <w:b/>
          <w:kern w:val="0"/>
          <w:sz w:val="24"/>
          <w:szCs w:val="24"/>
        </w:rPr>
        <w:t>报价公司应填写全称、同时加盖印章。</w:t>
      </w:r>
    </w:p>
    <w:p>
      <w:pPr>
        <w:widowControl/>
        <w:spacing w:line="240" w:lineRule="auto"/>
        <w:ind w:firstLine="482" w:firstLineChars="200"/>
        <w:jc w:val="left"/>
        <w:rPr>
          <w:rFonts w:hint="eastAsia" w:ascii="宋体" w:hAnsi="宋体" w:cs="宋体"/>
          <w:b/>
          <w:kern w:val="0"/>
          <w:sz w:val="24"/>
          <w:szCs w:val="24"/>
        </w:rPr>
      </w:pPr>
      <w:r>
        <w:rPr>
          <w:rFonts w:hint="eastAsia" w:ascii="宋体" w:hAnsi="宋体" w:cs="宋体"/>
          <w:b/>
          <w:kern w:val="0"/>
          <w:sz w:val="24"/>
          <w:szCs w:val="24"/>
          <w:lang w:val="en-US" w:eastAsia="zh-CN"/>
        </w:rPr>
        <w:t>3</w:t>
      </w:r>
      <w:r>
        <w:rPr>
          <w:rFonts w:hint="eastAsia" w:ascii="宋体" w:hAnsi="宋体" w:cs="宋体"/>
          <w:b/>
          <w:kern w:val="0"/>
          <w:sz w:val="24"/>
          <w:szCs w:val="24"/>
          <w:lang w:eastAsia="zh-CN"/>
        </w:rPr>
        <w:t>.</w:t>
      </w:r>
      <w:r>
        <w:rPr>
          <w:rFonts w:hint="eastAsia" w:ascii="宋体" w:hAnsi="宋体" w:cs="宋体"/>
          <w:b/>
          <w:kern w:val="0"/>
          <w:sz w:val="24"/>
          <w:szCs w:val="24"/>
        </w:rPr>
        <w:t>询价单因字迹潦草或表达不清所引起的后果由报价公司负责。</w:t>
      </w:r>
    </w:p>
    <w:p>
      <w:pPr>
        <w:widowControl/>
        <w:spacing w:line="240" w:lineRule="auto"/>
        <w:ind w:firstLine="482" w:firstLineChars="200"/>
        <w:jc w:val="left"/>
        <w:rPr>
          <w:rFonts w:hint="eastAsia" w:ascii="宋体" w:hAnsi="宋体" w:cs="宋体"/>
          <w:b/>
          <w:kern w:val="0"/>
          <w:sz w:val="24"/>
          <w:szCs w:val="24"/>
        </w:rPr>
      </w:pPr>
      <w:r>
        <w:rPr>
          <w:rFonts w:hint="eastAsia" w:ascii="宋体" w:hAnsi="宋体" w:cs="宋体"/>
          <w:b/>
          <w:kern w:val="0"/>
          <w:sz w:val="24"/>
          <w:szCs w:val="24"/>
          <w:lang w:val="en-US" w:eastAsia="zh-CN"/>
        </w:rPr>
        <w:t>4.</w:t>
      </w:r>
      <w:r>
        <w:rPr>
          <w:rFonts w:hint="eastAsia" w:ascii="宋体" w:hAnsi="宋体" w:cs="宋体"/>
          <w:b/>
          <w:kern w:val="0"/>
          <w:sz w:val="24"/>
          <w:szCs w:val="24"/>
        </w:rPr>
        <w:t>报价公司的报价不可更改。</w:t>
      </w:r>
    </w:p>
    <w:p>
      <w:pPr>
        <w:widowControl/>
        <w:spacing w:line="240" w:lineRule="auto"/>
        <w:ind w:firstLine="482" w:firstLineChars="200"/>
        <w:jc w:val="left"/>
        <w:rPr>
          <w:rFonts w:hint="default" w:ascii="宋体" w:hAnsi="宋体" w:eastAsia="宋体" w:cs="宋体"/>
          <w:b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cs="宋体"/>
          <w:b/>
          <w:kern w:val="0"/>
          <w:sz w:val="24"/>
          <w:szCs w:val="24"/>
          <w:lang w:val="en-US" w:eastAsia="zh-CN"/>
        </w:rPr>
        <w:t>5.</w:t>
      </w:r>
      <w:r>
        <w:rPr>
          <w:rFonts w:hint="eastAsia" w:ascii="宋体" w:hAnsi="宋体" w:cs="宋体"/>
          <w:b/>
          <w:kern w:val="0"/>
          <w:sz w:val="24"/>
          <w:szCs w:val="24"/>
        </w:rPr>
        <w:t>报价计算错误时，以单价为准。</w:t>
      </w:r>
    </w:p>
    <w:p>
      <w:pPr>
        <w:widowControl/>
        <w:snapToGrid w:val="0"/>
        <w:spacing w:line="240" w:lineRule="auto"/>
        <w:jc w:val="both"/>
        <w:textAlignment w:val="baseline"/>
        <w:rPr>
          <w:rFonts w:hint="eastAsia" w:ascii="宋体" w:hAnsi="宋体" w:eastAsia="宋体" w:cs="宋体"/>
          <w:b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kern w:val="0"/>
          <w:sz w:val="24"/>
          <w:szCs w:val="24"/>
          <w:lang w:val="en-US" w:eastAsia="zh-CN"/>
        </w:rPr>
        <w:t xml:space="preserve">    6.多页必须盖骑缝章方有效。</w:t>
      </w:r>
    </w:p>
    <w:p>
      <w:pPr>
        <w:pStyle w:val="6"/>
        <w:rPr>
          <w:rFonts w:hint="eastAsia" w:ascii="宋体" w:hAnsi="宋体" w:eastAsia="宋体" w:cs="宋体"/>
          <w:b/>
          <w:kern w:val="0"/>
          <w:sz w:val="24"/>
          <w:szCs w:val="24"/>
          <w:lang w:val="en-US" w:eastAsia="zh-CN"/>
        </w:rPr>
      </w:pPr>
    </w:p>
    <w:p>
      <w:pPr>
        <w:pStyle w:val="7"/>
        <w:keepNext w:val="0"/>
        <w:keepLines w:val="0"/>
        <w:widowControl/>
        <w:suppressLineNumbers w:val="0"/>
        <w:spacing w:before="75" w:beforeAutospacing="0" w:after="75" w:afterAutospacing="0" w:line="555" w:lineRule="atLeast"/>
        <w:ind w:left="0" w:right="0" w:firstLine="4800"/>
        <w:jc w:val="right"/>
        <w:rPr>
          <w:rFonts w:hint="default" w:ascii="sans-serif" w:hAnsi="sans-serif" w:eastAsia="sans-serif" w:cs="sans-serif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</w:rPr>
      </w:pPr>
    </w:p>
    <w:p>
      <w:pPr>
        <w:pStyle w:val="7"/>
        <w:keepNext w:val="0"/>
        <w:keepLines w:val="0"/>
        <w:widowControl/>
        <w:suppressLineNumbers w:val="0"/>
        <w:spacing w:before="75" w:beforeAutospacing="0" w:after="75" w:afterAutospacing="0" w:line="555" w:lineRule="atLeast"/>
        <w:ind w:left="0" w:right="0" w:firstLine="4800"/>
        <w:jc w:val="right"/>
        <w:rPr>
          <w:rFonts w:hint="default" w:ascii="sans-serif" w:hAnsi="sans-serif" w:eastAsia="sans-serif" w:cs="sans-serif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</w:rPr>
      </w:pPr>
    </w:p>
    <w:p>
      <w:pPr>
        <w:pStyle w:val="7"/>
        <w:keepNext w:val="0"/>
        <w:keepLines w:val="0"/>
        <w:widowControl/>
        <w:suppressLineNumbers w:val="0"/>
        <w:spacing w:before="75" w:beforeAutospacing="0" w:after="75" w:afterAutospacing="0" w:line="555" w:lineRule="atLeast"/>
        <w:ind w:left="0" w:right="0" w:firstLine="4800"/>
        <w:jc w:val="right"/>
        <w:rPr>
          <w:rFonts w:hint="default" w:ascii="sans-serif" w:hAnsi="sans-serif" w:eastAsia="sans-serif" w:cs="sans-serif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</w:rPr>
      </w:pPr>
    </w:p>
    <w:p>
      <w:pPr>
        <w:pStyle w:val="6"/>
        <w:rPr>
          <w:rFonts w:hint="eastAsia" w:ascii="宋体" w:hAnsi="宋体" w:eastAsia="宋体" w:cs="宋体"/>
          <w:b/>
          <w:kern w:val="0"/>
          <w:sz w:val="24"/>
          <w:szCs w:val="24"/>
          <w:lang w:val="en-US" w:eastAsia="zh-CN"/>
        </w:rPr>
      </w:pPr>
    </w:p>
    <w:sectPr>
      <w:pgSz w:w="11906" w:h="16838"/>
      <w:pgMar w:top="873" w:right="1179" w:bottom="873" w:left="117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ms Rmn">
    <w:altName w:val="Segoe Print"/>
    <w:panose1 w:val="02020603040505020304"/>
    <w:charset w:val="00"/>
    <w:family w:val="roman"/>
    <w:pitch w:val="default"/>
    <w:sig w:usb0="00000000" w:usb1="00000000" w:usb2="00000000" w:usb3="00000000" w:csb0="0000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ZhMDJiZDU0M2QzOTVkNWQ4ZDJmNzA3YTc3OWI3NjIifQ=="/>
  </w:docVars>
  <w:rsids>
    <w:rsidRoot w:val="2EAF5B3F"/>
    <w:rsid w:val="035B3FEB"/>
    <w:rsid w:val="03BB543E"/>
    <w:rsid w:val="04370286"/>
    <w:rsid w:val="051D16FF"/>
    <w:rsid w:val="0BDD6C30"/>
    <w:rsid w:val="0BF453CC"/>
    <w:rsid w:val="0E8A2A67"/>
    <w:rsid w:val="0F1A4A6C"/>
    <w:rsid w:val="11934B15"/>
    <w:rsid w:val="14D53655"/>
    <w:rsid w:val="1DD841C1"/>
    <w:rsid w:val="237D3DD2"/>
    <w:rsid w:val="259D3F4C"/>
    <w:rsid w:val="2D450ADE"/>
    <w:rsid w:val="2EAF5B3F"/>
    <w:rsid w:val="2F3A36C7"/>
    <w:rsid w:val="31C301C1"/>
    <w:rsid w:val="31F44865"/>
    <w:rsid w:val="343957A4"/>
    <w:rsid w:val="37F068A8"/>
    <w:rsid w:val="39A457C2"/>
    <w:rsid w:val="3D800D7E"/>
    <w:rsid w:val="3DA61762"/>
    <w:rsid w:val="3E143EF5"/>
    <w:rsid w:val="3F50201E"/>
    <w:rsid w:val="466A516F"/>
    <w:rsid w:val="47385283"/>
    <w:rsid w:val="486858DB"/>
    <w:rsid w:val="491B03FC"/>
    <w:rsid w:val="4BCC457E"/>
    <w:rsid w:val="535B4372"/>
    <w:rsid w:val="53892AEF"/>
    <w:rsid w:val="566519F7"/>
    <w:rsid w:val="5A692A8C"/>
    <w:rsid w:val="5BDC3EDB"/>
    <w:rsid w:val="608D7276"/>
    <w:rsid w:val="63A13850"/>
    <w:rsid w:val="640A1CE6"/>
    <w:rsid w:val="6470027C"/>
    <w:rsid w:val="66BF7D34"/>
    <w:rsid w:val="674C7A2E"/>
    <w:rsid w:val="676257EC"/>
    <w:rsid w:val="67DD5D4C"/>
    <w:rsid w:val="685B18F7"/>
    <w:rsid w:val="77A14602"/>
    <w:rsid w:val="795C199D"/>
    <w:rsid w:val="7995051D"/>
    <w:rsid w:val="7B557928"/>
    <w:rsid w:val="7F8E32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5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10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99"/>
    <w:pPr>
      <w:spacing w:after="120"/>
    </w:pPr>
  </w:style>
  <w:style w:type="paragraph" w:styleId="3">
    <w:name w:val="Body Text First Indent"/>
    <w:basedOn w:val="2"/>
    <w:unhideWhenUsed/>
    <w:qFormat/>
    <w:uiPriority w:val="99"/>
    <w:pPr>
      <w:ind w:firstLine="420" w:firstLineChars="100"/>
    </w:pPr>
  </w:style>
  <w:style w:type="paragraph" w:styleId="6">
    <w:name w:val="Plain Text"/>
    <w:basedOn w:val="1"/>
    <w:qFormat/>
    <w:uiPriority w:val="0"/>
    <w:pPr>
      <w:autoSpaceDE w:val="0"/>
      <w:autoSpaceDN w:val="0"/>
      <w:adjustRightInd w:val="0"/>
    </w:pPr>
    <w:rPr>
      <w:rFonts w:hAnsi="Tms Rmn"/>
      <w:sz w:val="21"/>
    </w:rPr>
  </w:style>
  <w:style w:type="paragraph" w:styleId="7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Hyperlink"/>
    <w:basedOn w:val="10"/>
    <w:qFormat/>
    <w:uiPriority w:val="0"/>
    <w:rPr>
      <w:color w:val="0000FF"/>
      <w:u w:val="single"/>
    </w:rPr>
  </w:style>
  <w:style w:type="character" w:customStyle="1" w:styleId="12">
    <w:name w:val="font11"/>
    <w:basedOn w:val="10"/>
    <w:qFormat/>
    <w:uiPriority w:val="0"/>
    <w:rPr>
      <w:rFonts w:hint="default" w:ascii="Tahoma" w:hAnsi="Tahoma" w:eastAsia="Tahoma" w:cs="Tahoma"/>
      <w:color w:val="000000"/>
      <w:sz w:val="20"/>
      <w:szCs w:val="20"/>
      <w:u w:val="none"/>
    </w:rPr>
  </w:style>
  <w:style w:type="character" w:customStyle="1" w:styleId="13">
    <w:name w:val="font61"/>
    <w:qFormat/>
    <w:uiPriority w:val="0"/>
    <w:rPr>
      <w:rFonts w:hint="eastAsia" w:ascii="仿宋" w:hAnsi="仿宋" w:eastAsia="仿宋" w:cs="仿宋"/>
      <w:color w:val="000000"/>
      <w:sz w:val="20"/>
      <w:szCs w:val="20"/>
      <w:u w:val="none"/>
    </w:rPr>
  </w:style>
  <w:style w:type="paragraph" w:customStyle="1" w:styleId="14">
    <w:name w:val="CM26"/>
    <w:basedOn w:val="1"/>
    <w:next w:val="1"/>
    <w:qFormat/>
    <w:uiPriority w:val="0"/>
    <w:pPr>
      <w:autoSpaceDE w:val="0"/>
      <w:autoSpaceDN w:val="0"/>
      <w:adjustRightInd w:val="0"/>
      <w:spacing w:after="173"/>
      <w:jc w:val="left"/>
    </w:pPr>
    <w:rPr>
      <w:rFonts w:ascii="隶书" w:eastAsia="隶书"/>
      <w:kern w:val="0"/>
      <w:sz w:val="24"/>
    </w:rPr>
  </w:style>
  <w:style w:type="paragraph" w:styleId="15">
    <w:name w:val="No Spacing"/>
    <w:qFormat/>
    <w:uiPriority w:val="1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6">
    <w:name w:val="font21"/>
    <w:basedOn w:val="10"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696</Words>
  <Characters>885</Characters>
  <Lines>0</Lines>
  <Paragraphs>0</Paragraphs>
  <TotalTime>7</TotalTime>
  <ScaleCrop>false</ScaleCrop>
  <LinksUpToDate>false</LinksUpToDate>
  <CharactersWithSpaces>949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2023-02-27T02:40:00Z</dcterms:created>
  <dc:creator>DELL</dc:creator>
  <cp:lastModifiedBy>抟摇直上</cp:lastModifiedBy>
  <cp:lastPrinted>2023-03-13T02:41:00Z</cp:lastPrinted>
  <dcterms:modified xsi:type="dcterms:W3CDTF">2023-10-25T07:53:10Z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849F476FD27049A2B266DC2F723EBD49_13</vt:lpwstr>
  </property>
</Properties>
</file>