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C1A" w:rsidRDefault="00491C1A" w:rsidP="00491C1A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附件1：</w:t>
      </w:r>
    </w:p>
    <w:p w:rsidR="00491C1A" w:rsidRDefault="00491C1A" w:rsidP="00491C1A">
      <w:pPr>
        <w:pStyle w:val="2"/>
        <w:rPr>
          <w:sz w:val="36"/>
          <w:szCs w:val="36"/>
        </w:rPr>
      </w:pPr>
      <w:r>
        <w:rPr>
          <w:rFonts w:hint="eastAsia"/>
          <w:sz w:val="36"/>
          <w:szCs w:val="36"/>
        </w:rPr>
        <w:t>包1：光子治疗仪采购项目</w:t>
      </w:r>
    </w:p>
    <w:p w:rsidR="00491C1A" w:rsidRDefault="00491C1A" w:rsidP="00491C1A">
      <w:pPr>
        <w:numPr>
          <w:ilvl w:val="0"/>
          <w:numId w:val="1"/>
        </w:num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招标控制价：设备最高限价12.5万元</w:t>
      </w:r>
    </w:p>
    <w:p w:rsidR="00491C1A" w:rsidRDefault="00491C1A" w:rsidP="00491C1A">
      <w:pPr>
        <w:numPr>
          <w:ilvl w:val="0"/>
          <w:numId w:val="1"/>
        </w:num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采购数量：设备1台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三、产品功能及技术参数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1.产品适应症：适用于消炎、镇痛，对体表创面有止渗液、促进肉芽组织生长、加速愈合的作用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2.光源材料：半导体固态光源(大功率芯片集成式)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3.光源聚光设计：透镜式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4.峰值波长：蓝光：460±10nm红光：640±10nm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5.光功率密度(光源表面测量)：蓝光：≥1500mW/cm2红光：≥1500mW/cm2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6.温度反馈功能：具有温度反馈功能，温度测量误差为±2℃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7.特定照射距离下的温升和光功率密度：(距离光杯口10cm处，照射15min)</w:t>
      </w:r>
      <w:r>
        <w:rPr>
          <w:rFonts w:ascii="宋体" w:eastAsia="宋体" w:hAnsi="宋体" w:hint="eastAsia"/>
          <w:sz w:val="32"/>
          <w:szCs w:val="32"/>
        </w:rPr>
        <w:tab/>
        <w:t>水膜温升≤3℃，光功率密度≥40mW/cm2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8.光功率稳定度：光功率变化率≤±3%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9.光斑均匀性：有效红光辐照度的均匀性＞0.4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10.最大治疗深度：≥10cm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11.红蓝光自动切换功能：蓝光源照射后自动启动红光</w:t>
      </w:r>
      <w:r>
        <w:rPr>
          <w:rFonts w:ascii="宋体" w:eastAsia="宋体" w:hAnsi="宋体" w:hint="eastAsia"/>
          <w:sz w:val="32"/>
          <w:szCs w:val="32"/>
        </w:rPr>
        <w:lastRenderedPageBreak/>
        <w:t>照射的切换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12.联网功能：支持联网功能，可选配工作站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13.遮光装置：治疗光源应具有一体式内置伸缩遮光装置，可伸缩调节距离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14.能量调节方式：五级能量可调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15.照射治疗模式：持续/脉冲照射治疗可选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16.定时时间：可从0min～99min连续可调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17.操作面板：触摸屏、液晶显示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18.储物箱：具有储存配件的储物箱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19.治疗附件：可选配治疗附件</w:t>
      </w:r>
    </w:p>
    <w:p w:rsidR="00491C1A" w:rsidRDefault="00491C1A" w:rsidP="00491C1A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20.输入功率：≤200VA</w:t>
      </w:r>
    </w:p>
    <w:p w:rsidR="000230BD" w:rsidRDefault="000230BD"/>
    <w:sectPr w:rsidR="000230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0BD" w:rsidRDefault="000230BD" w:rsidP="00491C1A">
      <w:r>
        <w:separator/>
      </w:r>
    </w:p>
  </w:endnote>
  <w:endnote w:type="continuationSeparator" w:id="1">
    <w:p w:rsidR="000230BD" w:rsidRDefault="000230BD" w:rsidP="00491C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0BD" w:rsidRDefault="000230BD" w:rsidP="00491C1A">
      <w:r>
        <w:separator/>
      </w:r>
    </w:p>
  </w:footnote>
  <w:footnote w:type="continuationSeparator" w:id="1">
    <w:p w:rsidR="000230BD" w:rsidRDefault="000230BD" w:rsidP="00491C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3FF841"/>
    <w:multiLevelType w:val="singleLevel"/>
    <w:tmpl w:val="AD3FF84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1C1A"/>
    <w:rsid w:val="000230BD"/>
    <w:rsid w:val="00491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C1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491C1A"/>
    <w:pPr>
      <w:keepNext/>
      <w:keepLines/>
      <w:spacing w:before="260" w:after="260" w:line="416" w:lineRule="auto"/>
      <w:jc w:val="center"/>
      <w:outlineLvl w:val="1"/>
    </w:pPr>
    <w:rPr>
      <w:rFonts w:ascii="宋体" w:hAns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1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1C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1C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1C1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91C1A"/>
    <w:rPr>
      <w:rFonts w:ascii="宋体" w:hAnsi="宋体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2022-11-03T07:53:00Z</dcterms:created>
  <dcterms:modified xsi:type="dcterms:W3CDTF">2022-11-03T07:54:00Z</dcterms:modified>
</cp:coreProperties>
</file>