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spacing w:line="240" w:lineRule="atLeast"/>
        <w:rPr>
          <w:rFonts w:ascii="SimSun" w:hAnsi="SimSun"/>
          <w:bCs w:val="0"/>
          <w:color w:val="000000"/>
          <w:kern w:val="2"/>
          <w:sz w:val="30"/>
          <w:szCs w:val="30"/>
        </w:rPr>
      </w:pPr>
      <w:bookmarkStart w:id="0" w:name="_Toc13564586"/>
      <w:bookmarkStart w:id="1" w:name="_Toc91150275"/>
      <w:bookmarkStart w:id="2" w:name="_Toc13564293"/>
      <w:bookmarkStart w:id="3" w:name="_Toc217446094"/>
      <w:r>
        <w:rPr>
          <w:rFonts w:hint="eastAsia" w:ascii="SimSun" w:hAnsi="SimSun"/>
          <w:bCs w:val="0"/>
          <w:color w:val="000000"/>
          <w:kern w:val="2"/>
          <w:sz w:val="30"/>
          <w:szCs w:val="30"/>
        </w:rPr>
        <w:t>万源市中心医院</w:t>
      </w:r>
      <w:bookmarkStart w:id="4" w:name="_GoBack"/>
      <w:r>
        <w:rPr>
          <w:rFonts w:hint="eastAsia" w:ascii="SimSun" w:hAnsi="SimSun"/>
          <w:bCs w:val="0"/>
          <w:color w:val="000000"/>
          <w:kern w:val="2"/>
          <w:sz w:val="30"/>
          <w:szCs w:val="30"/>
        </w:rPr>
        <w:t>疫情防控物资采购项目技术、服务及其他要求</w:t>
      </w:r>
      <w:bookmarkEnd w:id="4"/>
      <w:bookmarkEnd w:id="0"/>
      <w:bookmarkEnd w:id="1"/>
    </w:p>
    <w:bookmarkEnd w:id="2"/>
    <w:bookmarkEnd w:id="3"/>
    <w:p>
      <w:pPr>
        <w:adjustRightInd w:val="0"/>
        <w:spacing w:line="300" w:lineRule="exact"/>
        <w:rPr>
          <w:rFonts w:asciiTheme="minorEastAsia" w:hAnsiTheme="minorEastAsia"/>
          <w:b/>
          <w:bCs/>
          <w:color w:val="000000"/>
          <w:spacing w:val="8"/>
          <w:sz w:val="24"/>
          <w:szCs w:val="24"/>
        </w:rPr>
      </w:pPr>
      <w:r>
        <w:rPr>
          <w:rFonts w:asciiTheme="minorEastAsia" w:hAnsiTheme="minorEastAsia"/>
          <w:b/>
          <w:bCs/>
          <w:color w:val="000000"/>
          <w:spacing w:val="8"/>
          <w:sz w:val="24"/>
          <w:szCs w:val="24"/>
        </w:rPr>
        <w:t>1</w:t>
      </w:r>
      <w:r>
        <w:rPr>
          <w:rFonts w:hint="eastAsia" w:asciiTheme="minorEastAsia" w:hAnsiTheme="minorEastAsia"/>
          <w:b/>
          <w:bCs/>
          <w:color w:val="000000"/>
          <w:spacing w:val="8"/>
          <w:sz w:val="24"/>
          <w:szCs w:val="24"/>
        </w:rPr>
        <w:t>、 项目名称、技术规格和配置要求、数量。</w:t>
      </w:r>
    </w:p>
    <w:tbl>
      <w:tblPr>
        <w:tblStyle w:val="7"/>
        <w:tblW w:w="9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
        <w:gridCol w:w="1613"/>
        <w:gridCol w:w="5485"/>
        <w:gridCol w:w="992"/>
        <w:gridCol w:w="1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9573"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b/>
                <w:color w:val="000000"/>
                <w:sz w:val="24"/>
                <w:szCs w:val="24"/>
              </w:rPr>
              <w:t>疫情防控物资储备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4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序号</w:t>
            </w:r>
          </w:p>
        </w:tc>
        <w:tc>
          <w:tcPr>
            <w:tcW w:w="161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货物名称</w:t>
            </w:r>
          </w:p>
        </w:tc>
        <w:tc>
          <w:tcPr>
            <w:tcW w:w="548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技术规格和配置要求</w:t>
            </w:r>
          </w:p>
        </w:tc>
        <w:tc>
          <w:tcPr>
            <w:tcW w:w="99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数量</w:t>
            </w:r>
          </w:p>
        </w:tc>
        <w:tc>
          <w:tcPr>
            <w:tcW w:w="10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1</w:t>
            </w:r>
          </w:p>
        </w:tc>
        <w:tc>
          <w:tcPr>
            <w:tcW w:w="161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一次性医用防护服</w:t>
            </w:r>
          </w:p>
        </w:tc>
        <w:tc>
          <w:tcPr>
            <w:tcW w:w="5485"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asciiTheme="minorEastAsia" w:hAnsiTheme="minorEastAsia"/>
                <w:sz w:val="24"/>
                <w:szCs w:val="24"/>
              </w:rPr>
            </w:pPr>
            <w:r>
              <w:rPr>
                <w:rFonts w:asciiTheme="minorEastAsia" w:hAnsiTheme="minorEastAsia"/>
                <w:sz w:val="24"/>
                <w:szCs w:val="24"/>
              </w:rPr>
              <w:t>1、符合国家标准：GB 19082-2009《医用一次性防护服技术要求》；</w:t>
            </w:r>
          </w:p>
          <w:p>
            <w:pPr>
              <w:spacing w:line="320" w:lineRule="exact"/>
              <w:jc w:val="left"/>
              <w:rPr>
                <w:rFonts w:asciiTheme="minorEastAsia" w:hAnsiTheme="minorEastAsia"/>
                <w:sz w:val="24"/>
                <w:szCs w:val="24"/>
              </w:rPr>
            </w:pPr>
            <w:r>
              <w:rPr>
                <w:rFonts w:asciiTheme="minorEastAsia" w:hAnsiTheme="minorEastAsia"/>
                <w:sz w:val="24"/>
                <w:szCs w:val="24"/>
              </w:rPr>
              <w:t>2、产品材质：白色复合透气膜纺粘无纺布；弹性面部开口，接缝处贴胶条设计，提供高水平防护；连身式结构，由连帽上衣、裤子组成，针织袖口设计，袖口、脚踝口弹性收口，帽子面部收口及腰部弹性收口、拉绳收口或搭扣，穿着舒适；</w:t>
            </w:r>
          </w:p>
          <w:p>
            <w:pPr>
              <w:spacing w:line="320" w:lineRule="exact"/>
              <w:jc w:val="left"/>
              <w:rPr>
                <w:rFonts w:asciiTheme="minorEastAsia" w:hAnsiTheme="minorEastAsia"/>
                <w:sz w:val="24"/>
                <w:szCs w:val="24"/>
              </w:rPr>
            </w:pPr>
            <w:r>
              <w:rPr>
                <w:rFonts w:asciiTheme="minorEastAsia" w:hAnsiTheme="minorEastAsia"/>
                <w:sz w:val="24"/>
                <w:szCs w:val="24"/>
              </w:rPr>
              <w:t>3★、抗渗水性：静水压≥10.00KPa（17cm·H2O）；断裂强力和断裂伸长率：断裂强力≥50N，断裂伸长率≥80%；过滤效率：材料及接缝处对非油性颗粒的过滤效率应≥99%；抗合成血液穿透性不低于4级（压强值1.75KPa）；表面抗湿性：外侧沾水等级不低于4级；透湿量：不小于6000g/（m2·d）；抗静电性：带电量≤0.6uC/件；灭菌后无菌,环氧乙烷灭菌残留≤10。（须提供检测报告）</w:t>
            </w:r>
          </w:p>
          <w:p>
            <w:pPr>
              <w:spacing w:line="320" w:lineRule="exact"/>
              <w:jc w:val="left"/>
              <w:rPr>
                <w:rFonts w:asciiTheme="minorEastAsia" w:hAnsiTheme="minorEastAsia"/>
                <w:sz w:val="24"/>
                <w:szCs w:val="24"/>
              </w:rPr>
            </w:pPr>
            <w:r>
              <w:rPr>
                <w:rFonts w:asciiTheme="minorEastAsia" w:hAnsiTheme="minorEastAsia"/>
                <w:sz w:val="24"/>
                <w:szCs w:val="24"/>
              </w:rPr>
              <w:t>4、皮肤刺激性：原发性刺激指数≤1。</w:t>
            </w:r>
          </w:p>
          <w:p>
            <w:pPr>
              <w:spacing w:line="320" w:lineRule="exact"/>
              <w:jc w:val="left"/>
              <w:rPr>
                <w:rFonts w:asciiTheme="minorEastAsia" w:hAnsiTheme="minorEastAsia"/>
                <w:sz w:val="24"/>
                <w:szCs w:val="24"/>
              </w:rPr>
            </w:pPr>
            <w:r>
              <w:rPr>
                <w:rFonts w:asciiTheme="minorEastAsia" w:hAnsiTheme="minorEastAsia"/>
                <w:sz w:val="24"/>
                <w:szCs w:val="24"/>
              </w:rPr>
              <w:t>5★、微生物指标符合GB19082-2009的要求，细菌总落数＜60cfu/g，真菌菌落总数＜60cfu/g。（须提供检测报告）</w:t>
            </w:r>
          </w:p>
          <w:p>
            <w:pPr>
              <w:spacing w:line="320" w:lineRule="exact"/>
              <w:jc w:val="left"/>
              <w:rPr>
                <w:rFonts w:asciiTheme="minorEastAsia" w:hAnsiTheme="minorEastAsia"/>
                <w:sz w:val="24"/>
                <w:szCs w:val="24"/>
              </w:rPr>
            </w:pPr>
            <w:r>
              <w:rPr>
                <w:rFonts w:asciiTheme="minorEastAsia" w:hAnsiTheme="minorEastAsia"/>
                <w:sz w:val="24"/>
                <w:szCs w:val="24"/>
              </w:rPr>
              <w:t>6、产品有效期：≥</w:t>
            </w:r>
            <w:r>
              <w:rPr>
                <w:rFonts w:hint="eastAsia" w:asciiTheme="minorEastAsia" w:hAnsiTheme="minorEastAsia"/>
                <w:sz w:val="24"/>
                <w:szCs w:val="24"/>
              </w:rPr>
              <w:t>2</w:t>
            </w:r>
            <w:r>
              <w:rPr>
                <w:rFonts w:asciiTheme="minorEastAsia" w:hAnsiTheme="minorEastAsia"/>
                <w:sz w:val="24"/>
                <w:szCs w:val="24"/>
              </w:rPr>
              <w:t>年；</w:t>
            </w:r>
          </w:p>
          <w:p>
            <w:pPr>
              <w:spacing w:line="320" w:lineRule="exact"/>
              <w:jc w:val="left"/>
              <w:rPr>
                <w:rFonts w:asciiTheme="minorEastAsia" w:hAnsiTheme="minorEastAsia"/>
                <w:sz w:val="24"/>
                <w:szCs w:val="24"/>
              </w:rPr>
            </w:pPr>
            <w:r>
              <w:rPr>
                <w:rFonts w:hint="eastAsia" w:asciiTheme="minorEastAsia" w:hAnsiTheme="minorEastAsia"/>
                <w:sz w:val="24"/>
                <w:szCs w:val="24"/>
              </w:rPr>
              <w:t>带“★”参数为重要参数项，须提供国家认可的检测机构的检测报告</w:t>
            </w:r>
          </w:p>
        </w:tc>
        <w:tc>
          <w:tcPr>
            <w:tcW w:w="99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1000</w:t>
            </w:r>
            <w:r>
              <w:rPr>
                <w:rFonts w:asciiTheme="minorEastAsia" w:hAnsiTheme="minorEastAsia"/>
                <w:sz w:val="24"/>
                <w:szCs w:val="24"/>
              </w:rPr>
              <w:t>件</w:t>
            </w:r>
          </w:p>
          <w:p>
            <w:pPr>
              <w:spacing w:line="320" w:lineRule="exact"/>
              <w:jc w:val="center"/>
              <w:rPr>
                <w:rFonts w:asciiTheme="minorEastAsia" w:hAnsiTheme="minorEastAsia"/>
                <w:sz w:val="24"/>
                <w:szCs w:val="24"/>
              </w:rPr>
            </w:pPr>
          </w:p>
        </w:tc>
        <w:tc>
          <w:tcPr>
            <w:tcW w:w="10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175号600</w:t>
            </w:r>
            <w:r>
              <w:rPr>
                <w:rFonts w:asciiTheme="minorEastAsia" w:hAnsiTheme="minorEastAsia"/>
                <w:sz w:val="24"/>
                <w:szCs w:val="24"/>
              </w:rPr>
              <w:t>件</w:t>
            </w:r>
            <w:r>
              <w:rPr>
                <w:rFonts w:hint="eastAsia" w:asciiTheme="minorEastAsia" w:hAnsiTheme="minorEastAsia"/>
                <w:sz w:val="24"/>
                <w:szCs w:val="24"/>
              </w:rPr>
              <w:t>，180号400</w:t>
            </w:r>
            <w:r>
              <w:rPr>
                <w:rFonts w:asciiTheme="minorEastAsia" w:hAnsiTheme="minorEastAsia"/>
                <w:sz w:val="24"/>
                <w:szCs w:val="24"/>
              </w:rPr>
              <w:t>件</w:t>
            </w:r>
            <w:r>
              <w:rPr>
                <w:rFonts w:hint="eastAsia" w:asciiTheme="minorEastAsia" w:hAnsi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2</w:t>
            </w:r>
          </w:p>
        </w:tc>
        <w:tc>
          <w:tcPr>
            <w:tcW w:w="161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医用防护口罩</w:t>
            </w:r>
          </w:p>
        </w:tc>
        <w:tc>
          <w:tcPr>
            <w:tcW w:w="5485"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asciiTheme="minorEastAsia" w:hAnsiTheme="minorEastAsia"/>
                <w:sz w:val="24"/>
                <w:szCs w:val="24"/>
              </w:rPr>
            </w:pPr>
            <w:r>
              <w:rPr>
                <w:rFonts w:asciiTheme="minorEastAsia" w:hAnsiTheme="minorEastAsia"/>
                <w:sz w:val="24"/>
                <w:szCs w:val="24"/>
              </w:rPr>
              <w:t>1、产品材质：口罩分4层：纺粘无纺布+熔喷布+热风无纺布+纺粘无纺布，内置鼻条；</w:t>
            </w:r>
          </w:p>
          <w:p>
            <w:pPr>
              <w:spacing w:line="320" w:lineRule="exact"/>
              <w:jc w:val="left"/>
              <w:rPr>
                <w:rFonts w:asciiTheme="minorEastAsia" w:hAnsiTheme="minorEastAsia"/>
                <w:sz w:val="24"/>
                <w:szCs w:val="24"/>
              </w:rPr>
            </w:pPr>
            <w:r>
              <w:rPr>
                <w:rFonts w:asciiTheme="minorEastAsia" w:hAnsiTheme="minorEastAsia"/>
                <w:sz w:val="24"/>
                <w:szCs w:val="24"/>
              </w:rPr>
              <w:t>2、符合国标GB 19083-2010《医用防护口罩技术要求》；</w:t>
            </w:r>
          </w:p>
          <w:p>
            <w:pPr>
              <w:spacing w:line="320" w:lineRule="exact"/>
              <w:jc w:val="left"/>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头套式，</w:t>
            </w:r>
            <w:r>
              <w:rPr>
                <w:rFonts w:asciiTheme="minorEastAsia" w:hAnsiTheme="minorEastAsia"/>
                <w:sz w:val="24"/>
                <w:szCs w:val="24"/>
              </w:rPr>
              <w:t>配有鼻夹，鼻夹具有可调节性；</w:t>
            </w:r>
          </w:p>
          <w:p>
            <w:pPr>
              <w:spacing w:line="320" w:lineRule="exact"/>
              <w:jc w:val="left"/>
              <w:rPr>
                <w:rFonts w:asciiTheme="minorEastAsia" w:hAnsiTheme="minorEastAsia"/>
                <w:sz w:val="24"/>
                <w:szCs w:val="24"/>
              </w:rPr>
            </w:pPr>
            <w:r>
              <w:rPr>
                <w:rFonts w:asciiTheme="minorEastAsia" w:hAnsiTheme="minorEastAsia"/>
                <w:sz w:val="24"/>
                <w:szCs w:val="24"/>
              </w:rPr>
              <w:t>4★、过滤效率：实际检测PFE(非油性颗粒过滤效率) ≥95%； 呼吸阻力：在气体流量为85L/min的情况下，吸气阻力≤140Pa；阻燃性能：续燃时间不超过5s；每根口罩带与口罩体连接点的断裂强度≥10N；表面抗湿性符合GB 19083-2010中4.7的规定：不低于GB/T 4745-1997中的3级规定（须提供检测报告）</w:t>
            </w:r>
          </w:p>
          <w:p>
            <w:pPr>
              <w:spacing w:line="320" w:lineRule="exact"/>
              <w:jc w:val="left"/>
              <w:rPr>
                <w:rFonts w:asciiTheme="minorEastAsia" w:hAnsiTheme="minorEastAsia"/>
                <w:sz w:val="24"/>
                <w:szCs w:val="24"/>
              </w:rPr>
            </w:pPr>
            <w:r>
              <w:rPr>
                <w:rFonts w:asciiTheme="minorEastAsia" w:hAnsiTheme="minorEastAsia"/>
                <w:sz w:val="24"/>
                <w:szCs w:val="24"/>
              </w:rPr>
              <w:t>5、口罩合成血液穿透性能，实际检测口罩内侧未出现渗透；良好的密合性：口罩总适合因数≥100；</w:t>
            </w:r>
          </w:p>
          <w:p>
            <w:pPr>
              <w:spacing w:line="320" w:lineRule="exact"/>
              <w:jc w:val="left"/>
              <w:rPr>
                <w:rFonts w:asciiTheme="minorEastAsia" w:hAnsiTheme="minorEastAsia"/>
                <w:sz w:val="24"/>
                <w:szCs w:val="24"/>
              </w:rPr>
            </w:pPr>
            <w:r>
              <w:rPr>
                <w:rFonts w:asciiTheme="minorEastAsia" w:hAnsiTheme="minorEastAsia"/>
                <w:sz w:val="24"/>
                <w:szCs w:val="24"/>
              </w:rPr>
              <w:t>6★、细菌菌落总数≤200cfu/g，真菌菌落总数≤100cfu/g；经皮肤刺激实验，无皮肤刺激反应。（须提供检测报告）</w:t>
            </w:r>
          </w:p>
          <w:p>
            <w:pPr>
              <w:spacing w:line="320" w:lineRule="exact"/>
              <w:jc w:val="left"/>
              <w:rPr>
                <w:rFonts w:asciiTheme="minorEastAsia" w:hAnsiTheme="minorEastAsia"/>
                <w:sz w:val="24"/>
                <w:szCs w:val="24"/>
              </w:rPr>
            </w:pPr>
            <w:r>
              <w:rPr>
                <w:rFonts w:asciiTheme="minorEastAsia" w:hAnsiTheme="minorEastAsia"/>
                <w:sz w:val="24"/>
                <w:szCs w:val="24"/>
              </w:rPr>
              <w:t>7、产品有效期：≥</w:t>
            </w:r>
            <w:r>
              <w:rPr>
                <w:rFonts w:hint="eastAsia" w:asciiTheme="minorEastAsia" w:hAnsiTheme="minorEastAsia"/>
                <w:sz w:val="24"/>
                <w:szCs w:val="24"/>
              </w:rPr>
              <w:t>2</w:t>
            </w:r>
            <w:r>
              <w:rPr>
                <w:rFonts w:asciiTheme="minorEastAsia" w:hAnsiTheme="minorEastAsia"/>
                <w:sz w:val="24"/>
                <w:szCs w:val="24"/>
              </w:rPr>
              <w:t>年；</w:t>
            </w:r>
          </w:p>
        </w:tc>
        <w:tc>
          <w:tcPr>
            <w:tcW w:w="99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10</w:t>
            </w:r>
            <w:r>
              <w:rPr>
                <w:rFonts w:asciiTheme="minorEastAsia" w:hAnsiTheme="minorEastAsia"/>
                <w:sz w:val="24"/>
                <w:szCs w:val="24"/>
              </w:rPr>
              <w:t>00.个</w:t>
            </w:r>
          </w:p>
        </w:tc>
        <w:tc>
          <w:tcPr>
            <w:tcW w:w="10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3</w:t>
            </w:r>
          </w:p>
        </w:tc>
        <w:tc>
          <w:tcPr>
            <w:tcW w:w="161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一次性医用靴套</w:t>
            </w:r>
          </w:p>
        </w:tc>
        <w:tc>
          <w:tcPr>
            <w:tcW w:w="5485"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asciiTheme="minorEastAsia" w:hAnsiTheme="minorEastAsia"/>
                <w:sz w:val="24"/>
                <w:szCs w:val="24"/>
              </w:rPr>
            </w:pPr>
            <w:r>
              <w:rPr>
                <w:rFonts w:asciiTheme="minorEastAsia" w:hAnsiTheme="minorEastAsia"/>
                <w:sz w:val="24"/>
                <w:szCs w:val="24"/>
              </w:rPr>
              <w:t xml:space="preserve">1、表面无霉斑，无杂质、黏连、裂缝、破损缺陷，连接部位应平整、牢固； 接缝处的贴条无漏封现象； </w:t>
            </w:r>
          </w:p>
          <w:p>
            <w:pPr>
              <w:spacing w:line="320" w:lineRule="exact"/>
              <w:jc w:val="left"/>
              <w:rPr>
                <w:rFonts w:asciiTheme="minorEastAsia" w:hAnsiTheme="minorEastAsia"/>
                <w:sz w:val="24"/>
                <w:szCs w:val="24"/>
              </w:rPr>
            </w:pPr>
            <w:r>
              <w:rPr>
                <w:rFonts w:asciiTheme="minorEastAsia" w:hAnsiTheme="minorEastAsia"/>
                <w:sz w:val="24"/>
                <w:szCs w:val="24"/>
              </w:rPr>
              <w:t xml:space="preserve">2、静水压应不低于 1.67kPa（17cmH2O）； </w:t>
            </w:r>
          </w:p>
          <w:p>
            <w:pPr>
              <w:spacing w:line="320" w:lineRule="exact"/>
              <w:jc w:val="left"/>
              <w:rPr>
                <w:rFonts w:asciiTheme="minorEastAsia" w:hAnsiTheme="minorEastAsia"/>
                <w:sz w:val="24"/>
                <w:szCs w:val="24"/>
              </w:rPr>
            </w:pPr>
            <w:r>
              <w:rPr>
                <w:rFonts w:asciiTheme="minorEastAsia" w:hAnsiTheme="minorEastAsia"/>
                <w:sz w:val="24"/>
                <w:szCs w:val="24"/>
              </w:rPr>
              <w:t>3、抗合成血液穿透性应≥2 级 1.75/kPa；外表面沾水等级应≥2 级；</w:t>
            </w:r>
          </w:p>
          <w:p>
            <w:pPr>
              <w:spacing w:line="320" w:lineRule="exact"/>
              <w:jc w:val="left"/>
              <w:rPr>
                <w:rFonts w:asciiTheme="minorEastAsia" w:hAnsiTheme="minorEastAsia"/>
                <w:sz w:val="24"/>
                <w:szCs w:val="24"/>
              </w:rPr>
            </w:pPr>
            <w:r>
              <w:rPr>
                <w:rFonts w:asciiTheme="minorEastAsia" w:hAnsiTheme="minorEastAsia"/>
                <w:sz w:val="24"/>
                <w:szCs w:val="24"/>
              </w:rPr>
              <w:t>4、断裂强力应≥40N；断裂伸长率应≥ 15%； 对非油性颗粒的过滤效率均应≥70%；细菌菌落总数应≤200cfu/g；</w:t>
            </w:r>
          </w:p>
          <w:p>
            <w:pPr>
              <w:spacing w:line="320" w:lineRule="exact"/>
              <w:jc w:val="left"/>
              <w:rPr>
                <w:rFonts w:asciiTheme="minorEastAsia" w:hAnsiTheme="minorEastAsia"/>
                <w:sz w:val="24"/>
                <w:szCs w:val="24"/>
              </w:rPr>
            </w:pPr>
            <w:r>
              <w:rPr>
                <w:rFonts w:asciiTheme="minorEastAsia" w:hAnsiTheme="minorEastAsia"/>
                <w:sz w:val="24"/>
                <w:szCs w:val="24"/>
              </w:rPr>
              <w:t>5、产品有效期：≥</w:t>
            </w:r>
            <w:r>
              <w:rPr>
                <w:rFonts w:hint="eastAsia" w:asciiTheme="minorEastAsia" w:hAnsiTheme="minorEastAsia"/>
                <w:sz w:val="24"/>
                <w:szCs w:val="24"/>
              </w:rPr>
              <w:t>2</w:t>
            </w:r>
            <w:r>
              <w:rPr>
                <w:rFonts w:asciiTheme="minorEastAsia" w:hAnsiTheme="minorEastAsia"/>
                <w:sz w:val="24"/>
                <w:szCs w:val="24"/>
              </w:rPr>
              <w:t>年；</w:t>
            </w:r>
          </w:p>
        </w:tc>
        <w:tc>
          <w:tcPr>
            <w:tcW w:w="99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4500双</w:t>
            </w:r>
          </w:p>
        </w:tc>
        <w:tc>
          <w:tcPr>
            <w:tcW w:w="10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4</w:t>
            </w:r>
          </w:p>
        </w:tc>
        <w:tc>
          <w:tcPr>
            <w:tcW w:w="161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一次性隔离衣</w:t>
            </w:r>
          </w:p>
        </w:tc>
        <w:tc>
          <w:tcPr>
            <w:tcW w:w="5485"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asciiTheme="minorEastAsia" w:hAnsiTheme="minorEastAsia"/>
                <w:sz w:val="24"/>
                <w:szCs w:val="24"/>
              </w:rPr>
            </w:pPr>
            <w:r>
              <w:rPr>
                <w:rFonts w:asciiTheme="minorEastAsia" w:hAnsiTheme="minorEastAsia"/>
                <w:sz w:val="24"/>
                <w:szCs w:val="24"/>
              </w:rPr>
              <w:t>1、连身式（连帽，门襟带拉链），外观应干燥、清洁、无霉斑，表面不允许有粘连、裂缝、孔洞等缺陷。</w:t>
            </w:r>
          </w:p>
          <w:p>
            <w:pPr>
              <w:spacing w:line="320" w:lineRule="exact"/>
              <w:jc w:val="left"/>
              <w:rPr>
                <w:rFonts w:asciiTheme="minorEastAsia" w:hAnsiTheme="minorEastAsia"/>
                <w:sz w:val="24"/>
                <w:szCs w:val="24"/>
              </w:rPr>
            </w:pPr>
            <w:r>
              <w:rPr>
                <w:rFonts w:asciiTheme="minorEastAsia" w:hAnsiTheme="minorEastAsia"/>
                <w:sz w:val="24"/>
                <w:szCs w:val="24"/>
              </w:rPr>
              <w:t>2、拉链不能外露，拉头应能自锁。</w:t>
            </w:r>
          </w:p>
          <w:p>
            <w:pPr>
              <w:spacing w:line="320" w:lineRule="exact"/>
              <w:jc w:val="left"/>
              <w:rPr>
                <w:rFonts w:asciiTheme="minorEastAsia" w:hAnsiTheme="minorEastAsia"/>
                <w:sz w:val="24"/>
                <w:szCs w:val="24"/>
              </w:rPr>
            </w:pPr>
            <w:r>
              <w:rPr>
                <w:rFonts w:asciiTheme="minorEastAsia" w:hAnsiTheme="minorEastAsia"/>
                <w:sz w:val="24"/>
                <w:szCs w:val="24"/>
              </w:rPr>
              <w:t>3、关键部位材料的断裂强力应≥ 30 N；对非油性颗粒的过滤效率应≥30%；喷淋冲击渗水量应≤ 4.5 g；抗渗水性应≥ 17cm H2O。</w:t>
            </w:r>
          </w:p>
          <w:p>
            <w:pPr>
              <w:spacing w:line="320" w:lineRule="exact"/>
              <w:jc w:val="left"/>
              <w:rPr>
                <w:rFonts w:asciiTheme="minorEastAsia" w:hAnsiTheme="minorEastAsia"/>
                <w:sz w:val="24"/>
                <w:szCs w:val="24"/>
              </w:rPr>
            </w:pPr>
            <w:r>
              <w:rPr>
                <w:rFonts w:asciiTheme="minorEastAsia" w:hAnsiTheme="minorEastAsia"/>
                <w:sz w:val="24"/>
                <w:szCs w:val="24"/>
              </w:rPr>
              <w:t>4、细菌菌落总数应不超过 100cfu/g，并不得检出致病菌。</w:t>
            </w:r>
          </w:p>
          <w:p>
            <w:pPr>
              <w:spacing w:line="360" w:lineRule="auto"/>
              <w:ind w:leftChars="-400" w:hanging="840" w:hangingChars="350"/>
              <w:rPr>
                <w:rFonts w:asciiTheme="minorEastAsia" w:hAnsiTheme="minorEastAsia"/>
                <w:sz w:val="24"/>
                <w:szCs w:val="24"/>
              </w:rPr>
            </w:pPr>
            <w:r>
              <w:rPr>
                <w:rFonts w:hint="eastAsia" w:asciiTheme="minorEastAsia" w:hAnsiTheme="minorEastAsia"/>
                <w:sz w:val="24"/>
                <w:szCs w:val="24"/>
              </w:rPr>
              <w:t>断裂强力及断裂伸长率：纵向断裂强力可达91.9N，断裂伸长率可达124.9%；横向断裂强力可达58.6N，断裂伸长率可达114.8% 。</w:t>
            </w:r>
          </w:p>
          <w:p>
            <w:pPr>
              <w:spacing w:line="360" w:lineRule="auto"/>
              <w:rPr>
                <w:rFonts w:asciiTheme="minorEastAsia" w:hAnsiTheme="minorEastAsia"/>
                <w:sz w:val="24"/>
                <w:szCs w:val="24"/>
              </w:rPr>
            </w:pPr>
            <w:r>
              <w:rPr>
                <w:rFonts w:hint="eastAsia" w:asciiTheme="minorEastAsia" w:hAnsiTheme="minorEastAsia"/>
                <w:sz w:val="24"/>
                <w:szCs w:val="24"/>
              </w:rPr>
              <w:t>灭菌级：2级防护，进气率（非覆膜部位）：不小于0.2m/s（定压值100Pa）。</w:t>
            </w:r>
          </w:p>
          <w:p>
            <w:pPr>
              <w:spacing w:line="320" w:lineRule="exact"/>
              <w:jc w:val="left"/>
              <w:rPr>
                <w:rFonts w:asciiTheme="minorEastAsia" w:hAnsiTheme="minorEastAsia"/>
                <w:sz w:val="24"/>
                <w:szCs w:val="24"/>
              </w:rPr>
            </w:pPr>
            <w:r>
              <w:rPr>
                <w:rFonts w:asciiTheme="minorEastAsia" w:hAnsiTheme="minorEastAsia"/>
                <w:sz w:val="24"/>
                <w:szCs w:val="24"/>
              </w:rPr>
              <w:t>5、产品有效期：≥</w:t>
            </w:r>
            <w:r>
              <w:rPr>
                <w:rFonts w:hint="eastAsia" w:asciiTheme="minorEastAsia" w:hAnsiTheme="minorEastAsia"/>
                <w:sz w:val="24"/>
                <w:szCs w:val="24"/>
              </w:rPr>
              <w:t>2</w:t>
            </w:r>
            <w:r>
              <w:rPr>
                <w:rFonts w:asciiTheme="minorEastAsia" w:hAnsiTheme="minorEastAsia"/>
                <w:sz w:val="24"/>
                <w:szCs w:val="24"/>
              </w:rPr>
              <w:t>年；</w:t>
            </w:r>
          </w:p>
        </w:tc>
        <w:tc>
          <w:tcPr>
            <w:tcW w:w="99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1700</w:t>
            </w:r>
            <w:r>
              <w:rPr>
                <w:rFonts w:asciiTheme="minorEastAsia" w:hAnsiTheme="minorEastAsia"/>
                <w:sz w:val="24"/>
                <w:szCs w:val="24"/>
              </w:rPr>
              <w:t>件</w:t>
            </w:r>
          </w:p>
        </w:tc>
        <w:tc>
          <w:tcPr>
            <w:tcW w:w="10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7" w:hRule="atLeast"/>
          <w:jc w:val="center"/>
        </w:trPr>
        <w:tc>
          <w:tcPr>
            <w:tcW w:w="4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5</w:t>
            </w:r>
          </w:p>
        </w:tc>
        <w:tc>
          <w:tcPr>
            <w:tcW w:w="161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医用隔离面罩</w:t>
            </w:r>
          </w:p>
        </w:tc>
        <w:tc>
          <w:tcPr>
            <w:tcW w:w="5485" w:type="dxa"/>
            <w:tcBorders>
              <w:top w:val="single" w:color="auto" w:sz="4" w:space="0"/>
              <w:left w:val="single" w:color="auto" w:sz="4" w:space="0"/>
              <w:bottom w:val="single" w:color="auto" w:sz="4" w:space="0"/>
              <w:right w:val="single" w:color="auto" w:sz="4" w:space="0"/>
            </w:tcBorders>
            <w:vAlign w:val="center"/>
          </w:tcPr>
          <w:p>
            <w:pPr>
              <w:spacing w:line="320" w:lineRule="exact"/>
              <w:jc w:val="left"/>
              <w:rPr>
                <w:rFonts w:asciiTheme="minorEastAsia" w:hAnsiTheme="minorEastAsia"/>
                <w:sz w:val="24"/>
                <w:szCs w:val="24"/>
              </w:rPr>
            </w:pPr>
            <w:r>
              <w:rPr>
                <w:rFonts w:asciiTheme="minorEastAsia" w:hAnsiTheme="minorEastAsia"/>
                <w:sz w:val="24"/>
                <w:szCs w:val="24"/>
              </w:rPr>
              <w:t xml:space="preserve">1、防雾效果100%；环保、无毒， </w:t>
            </w:r>
          </w:p>
          <w:p>
            <w:pPr>
              <w:spacing w:line="320" w:lineRule="exact"/>
              <w:jc w:val="left"/>
              <w:rPr>
                <w:rFonts w:asciiTheme="minorEastAsia" w:hAnsiTheme="minorEastAsia"/>
                <w:sz w:val="24"/>
                <w:szCs w:val="24"/>
              </w:rPr>
            </w:pPr>
            <w:r>
              <w:rPr>
                <w:rFonts w:asciiTheme="minorEastAsia" w:hAnsiTheme="minorEastAsia"/>
                <w:sz w:val="24"/>
                <w:szCs w:val="24"/>
              </w:rPr>
              <w:t>2、有效防止</w:t>
            </w:r>
            <w:r>
              <w:rPr>
                <w:rFonts w:hint="eastAsia" w:asciiTheme="minorEastAsia" w:hAnsiTheme="minorEastAsia"/>
                <w:kern w:val="13"/>
                <w:sz w:val="24"/>
                <w:szCs w:val="24"/>
              </w:rPr>
              <w:t>阻断</w:t>
            </w:r>
            <w:r>
              <w:rPr>
                <w:rFonts w:asciiTheme="minorEastAsia" w:hAnsiTheme="minorEastAsia"/>
                <w:sz w:val="24"/>
                <w:szCs w:val="24"/>
              </w:rPr>
              <w:t>飞溅物、病毒、溶液溅射对人面部、眼部的损伤或交叉感染。</w:t>
            </w:r>
          </w:p>
          <w:p>
            <w:pPr>
              <w:widowControl/>
              <w:spacing w:line="360" w:lineRule="auto"/>
              <w:jc w:val="left"/>
              <w:rPr>
                <w:rFonts w:asciiTheme="minorEastAsia" w:hAnsiTheme="minorEastAsia"/>
                <w:kern w:val="13"/>
                <w:sz w:val="24"/>
                <w:szCs w:val="24"/>
              </w:rPr>
            </w:pPr>
            <w:r>
              <w:rPr>
                <w:rFonts w:hint="eastAsia" w:asciiTheme="minorEastAsia" w:hAnsiTheme="minorEastAsia"/>
                <w:kern w:val="13"/>
                <w:sz w:val="24"/>
                <w:szCs w:val="24"/>
              </w:rPr>
              <w:t>3、符合标准：GB14866-2006.EN166:2001，产品材质：APET。</w:t>
            </w:r>
          </w:p>
          <w:p>
            <w:pPr>
              <w:spacing w:line="320" w:lineRule="exact"/>
              <w:jc w:val="left"/>
              <w:rPr>
                <w:rFonts w:asciiTheme="minorEastAsia" w:hAnsiTheme="minorEastAsia"/>
                <w:sz w:val="24"/>
                <w:szCs w:val="24"/>
              </w:rPr>
            </w:pPr>
            <w:r>
              <w:rPr>
                <w:rFonts w:asciiTheme="minorEastAsia" w:hAnsiTheme="minorEastAsia"/>
                <w:sz w:val="24"/>
                <w:szCs w:val="24"/>
              </w:rPr>
              <w:t>3、产品有效期：≥</w:t>
            </w:r>
            <w:r>
              <w:rPr>
                <w:rFonts w:hint="eastAsia" w:asciiTheme="minorEastAsia" w:hAnsiTheme="minorEastAsia"/>
                <w:sz w:val="24"/>
                <w:szCs w:val="24"/>
              </w:rPr>
              <w:t>2</w:t>
            </w:r>
            <w:r>
              <w:rPr>
                <w:rFonts w:asciiTheme="minorEastAsia" w:hAnsiTheme="minorEastAsia"/>
                <w:sz w:val="24"/>
                <w:szCs w:val="24"/>
              </w:rPr>
              <w:t>年；</w:t>
            </w:r>
          </w:p>
        </w:tc>
        <w:tc>
          <w:tcPr>
            <w:tcW w:w="99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asciiTheme="minorEastAsia" w:hAnsiTheme="minorEastAsia"/>
                <w:sz w:val="24"/>
                <w:szCs w:val="24"/>
              </w:rPr>
              <w:t>3</w:t>
            </w:r>
            <w:r>
              <w:rPr>
                <w:rFonts w:hint="eastAsia" w:asciiTheme="minorEastAsia" w:hAnsiTheme="minorEastAsia"/>
                <w:sz w:val="24"/>
                <w:szCs w:val="24"/>
              </w:rPr>
              <w:t>40</w:t>
            </w:r>
            <w:r>
              <w:rPr>
                <w:rFonts w:asciiTheme="minorEastAsia" w:hAnsiTheme="minorEastAsia"/>
                <w:sz w:val="24"/>
                <w:szCs w:val="24"/>
              </w:rPr>
              <w:t>0.</w:t>
            </w:r>
            <w:r>
              <w:rPr>
                <w:rFonts w:hint="eastAsia" w:asciiTheme="minorEastAsia" w:hAnsiTheme="minorEastAsia"/>
                <w:sz w:val="24"/>
                <w:szCs w:val="24"/>
              </w:rPr>
              <w:t>个</w:t>
            </w:r>
          </w:p>
        </w:tc>
        <w:tc>
          <w:tcPr>
            <w:tcW w:w="10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5" w:hRule="atLeast"/>
          <w:jc w:val="center"/>
        </w:trPr>
        <w:tc>
          <w:tcPr>
            <w:tcW w:w="48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6</w:t>
            </w:r>
          </w:p>
        </w:tc>
        <w:tc>
          <w:tcPr>
            <w:tcW w:w="161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防护眼镜</w:t>
            </w:r>
          </w:p>
        </w:tc>
        <w:tc>
          <w:tcPr>
            <w:tcW w:w="5485" w:type="dxa"/>
            <w:tcBorders>
              <w:top w:val="single" w:color="auto" w:sz="4" w:space="0"/>
              <w:left w:val="single" w:color="auto" w:sz="4" w:space="0"/>
              <w:bottom w:val="single" w:color="auto" w:sz="4" w:space="0"/>
              <w:right w:val="single" w:color="auto" w:sz="4" w:space="0"/>
            </w:tcBorders>
            <w:vAlign w:val="center"/>
          </w:tcPr>
          <w:p>
            <w:pPr>
              <w:spacing w:line="360" w:lineRule="auto"/>
              <w:ind w:left="720" w:hanging="720" w:hangingChars="300"/>
              <w:rPr>
                <w:rFonts w:asciiTheme="minorEastAsia" w:hAnsiTheme="minorEastAsia"/>
                <w:sz w:val="24"/>
                <w:szCs w:val="24"/>
              </w:rPr>
            </w:pPr>
            <w:r>
              <w:rPr>
                <w:rFonts w:hint="eastAsia" w:asciiTheme="minorEastAsia" w:hAnsiTheme="minorEastAsia"/>
                <w:sz w:val="24"/>
                <w:szCs w:val="24"/>
              </w:rPr>
              <w:t>1、用于医疗机构检查治疗时起防护作用，阻隔体液、血液飞溅或者泼溅，有效保护医务人员眼部的损伤或者病毒的交叉感染，非无菌提供，一次性使用。</w:t>
            </w:r>
          </w:p>
          <w:p>
            <w:pPr>
              <w:spacing w:line="360" w:lineRule="auto"/>
              <w:ind w:left="600" w:hanging="600" w:hangingChars="250"/>
              <w:rPr>
                <w:rFonts w:asciiTheme="minorEastAsia" w:hAnsiTheme="minorEastAsia"/>
                <w:sz w:val="24"/>
                <w:szCs w:val="24"/>
              </w:rPr>
            </w:pPr>
            <w:r>
              <w:rPr>
                <w:rFonts w:hint="eastAsia" w:asciiTheme="minorEastAsia" w:hAnsiTheme="minorEastAsia"/>
                <w:sz w:val="24"/>
                <w:szCs w:val="24"/>
              </w:rPr>
              <w:t>2、由高分子材料制成的防护罩，用套头松紧带固定头部。</w:t>
            </w:r>
          </w:p>
          <w:p>
            <w:pPr>
              <w:spacing w:line="360" w:lineRule="auto"/>
              <w:ind w:left="600" w:hanging="600" w:hangingChars="250"/>
              <w:rPr>
                <w:rFonts w:asciiTheme="minorEastAsia" w:hAnsiTheme="minorEastAsia"/>
                <w:sz w:val="24"/>
                <w:szCs w:val="24"/>
              </w:rPr>
            </w:pPr>
            <w:r>
              <w:rPr>
                <w:rFonts w:hint="eastAsia" w:asciiTheme="minorEastAsia" w:hAnsiTheme="minorEastAsia"/>
                <w:sz w:val="24"/>
                <w:szCs w:val="24"/>
              </w:rPr>
              <w:t>3、全密封式，有效的阻隔病菌，并有四珠通风透气设计。</w:t>
            </w:r>
          </w:p>
          <w:p>
            <w:pPr>
              <w:spacing w:line="360" w:lineRule="auto"/>
              <w:ind w:left="720" w:hanging="720" w:hangingChars="300"/>
              <w:rPr>
                <w:rFonts w:asciiTheme="minorEastAsia" w:hAnsiTheme="minorEastAsia"/>
                <w:sz w:val="24"/>
                <w:szCs w:val="24"/>
              </w:rPr>
            </w:pPr>
            <w:r>
              <w:rPr>
                <w:rFonts w:hint="eastAsia" w:asciiTheme="minorEastAsia" w:hAnsiTheme="minorEastAsia"/>
                <w:sz w:val="24"/>
                <w:szCs w:val="24"/>
              </w:rPr>
              <w:t>4、 使用方法：拆开内包装，取出医用隔离眼罩产品（无需安装），将松紧带套于额头上，根据各自适宜的松紧程度调节长度。</w:t>
            </w:r>
          </w:p>
          <w:p>
            <w:pPr>
              <w:spacing w:line="320" w:lineRule="exact"/>
              <w:jc w:val="left"/>
              <w:rPr>
                <w:rFonts w:asciiTheme="minorEastAsia" w:hAnsiTheme="minorEastAsia"/>
                <w:sz w:val="24"/>
                <w:szCs w:val="24"/>
              </w:rPr>
            </w:pPr>
            <w:r>
              <w:rPr>
                <w:rFonts w:hint="eastAsia" w:asciiTheme="minorEastAsia" w:hAnsiTheme="minorEastAsia"/>
                <w:sz w:val="24"/>
                <w:szCs w:val="24"/>
              </w:rPr>
              <w:t>5、</w:t>
            </w:r>
            <w:r>
              <w:rPr>
                <w:rFonts w:asciiTheme="minorEastAsia" w:hAnsiTheme="minorEastAsia"/>
                <w:sz w:val="24"/>
                <w:szCs w:val="24"/>
              </w:rPr>
              <w:t>产品有效期：≥3年；</w:t>
            </w:r>
          </w:p>
        </w:tc>
        <w:tc>
          <w:tcPr>
            <w:tcW w:w="99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r>
              <w:rPr>
                <w:rFonts w:hint="eastAsia" w:asciiTheme="minorEastAsia" w:hAnsiTheme="minorEastAsia"/>
                <w:sz w:val="24"/>
                <w:szCs w:val="24"/>
              </w:rPr>
              <w:t>300副</w:t>
            </w:r>
          </w:p>
        </w:tc>
        <w:tc>
          <w:tcPr>
            <w:tcW w:w="1001"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heme="minorEastAsia" w:hAnsiTheme="minorEastAsia"/>
                <w:sz w:val="24"/>
                <w:szCs w:val="24"/>
              </w:rPr>
            </w:pPr>
          </w:p>
        </w:tc>
      </w:tr>
    </w:tbl>
    <w:p>
      <w:pPr>
        <w:rPr>
          <w:rFonts w:asciiTheme="minorEastAsia" w:hAnsiTheme="minorEastAsia"/>
          <w:b/>
          <w:sz w:val="28"/>
          <w:szCs w:val="28"/>
        </w:rPr>
      </w:pPr>
      <w:r>
        <w:rPr>
          <w:rFonts w:hint="eastAsia" w:cs="SimSun" w:asciiTheme="minorEastAsia" w:hAnsiTheme="minorEastAsia"/>
          <w:b/>
          <w:kern w:val="0"/>
          <w:sz w:val="28"/>
          <w:szCs w:val="28"/>
          <w:lang w:val="zh-CN"/>
        </w:rPr>
        <w:t>2、</w:t>
      </w:r>
      <w:r>
        <w:rPr>
          <w:rFonts w:hint="eastAsia" w:asciiTheme="minorEastAsia" w:hAnsiTheme="minorEastAsia"/>
          <w:b/>
          <w:bCs/>
          <w:spacing w:val="8"/>
          <w:sz w:val="28"/>
          <w:szCs w:val="28"/>
        </w:rPr>
        <w:t>商务要求</w:t>
      </w:r>
    </w:p>
    <w:tbl>
      <w:tblPr>
        <w:tblStyle w:val="7"/>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2835"/>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15" w:type="dxa"/>
            <w:vAlign w:val="center"/>
          </w:tcPr>
          <w:p>
            <w:pPr>
              <w:adjustRightInd w:val="0"/>
              <w:spacing w:line="320" w:lineRule="exact"/>
              <w:jc w:val="center"/>
              <w:rPr>
                <w:rFonts w:asciiTheme="minorEastAsia" w:hAnsiTheme="minorEastAsia"/>
                <w:b/>
                <w:bCs/>
                <w:spacing w:val="8"/>
                <w:sz w:val="24"/>
                <w:szCs w:val="24"/>
              </w:rPr>
            </w:pPr>
            <w:r>
              <w:rPr>
                <w:rFonts w:hint="eastAsia" w:asciiTheme="minorEastAsia" w:hAnsiTheme="minorEastAsia"/>
                <w:b/>
                <w:bCs/>
                <w:spacing w:val="8"/>
                <w:sz w:val="24"/>
                <w:szCs w:val="24"/>
              </w:rPr>
              <w:t>序号</w:t>
            </w:r>
          </w:p>
        </w:tc>
        <w:tc>
          <w:tcPr>
            <w:tcW w:w="2835" w:type="dxa"/>
            <w:vAlign w:val="center"/>
          </w:tcPr>
          <w:p>
            <w:pPr>
              <w:adjustRightInd w:val="0"/>
              <w:spacing w:line="320" w:lineRule="exact"/>
              <w:jc w:val="center"/>
              <w:rPr>
                <w:rFonts w:asciiTheme="minorEastAsia" w:hAnsiTheme="minorEastAsia"/>
                <w:b/>
                <w:bCs/>
                <w:spacing w:val="8"/>
                <w:sz w:val="24"/>
                <w:szCs w:val="24"/>
              </w:rPr>
            </w:pPr>
            <w:r>
              <w:rPr>
                <w:rFonts w:hint="eastAsia" w:asciiTheme="minorEastAsia" w:hAnsiTheme="minorEastAsia"/>
                <w:b/>
                <w:bCs/>
                <w:spacing w:val="8"/>
                <w:sz w:val="24"/>
                <w:szCs w:val="24"/>
              </w:rPr>
              <w:t>内容</w:t>
            </w:r>
          </w:p>
        </w:tc>
        <w:tc>
          <w:tcPr>
            <w:tcW w:w="4892" w:type="dxa"/>
            <w:vAlign w:val="center"/>
          </w:tcPr>
          <w:p>
            <w:pPr>
              <w:adjustRightInd w:val="0"/>
              <w:spacing w:line="320" w:lineRule="exact"/>
              <w:jc w:val="center"/>
              <w:rPr>
                <w:rFonts w:asciiTheme="minorEastAsia" w:hAnsiTheme="minorEastAsia"/>
                <w:b/>
                <w:bCs/>
                <w:spacing w:val="8"/>
                <w:sz w:val="24"/>
                <w:szCs w:val="24"/>
              </w:rPr>
            </w:pPr>
            <w:r>
              <w:rPr>
                <w:rFonts w:hint="eastAsia" w:asciiTheme="minorEastAsia" w:hAnsiTheme="minorEastAsia"/>
                <w:b/>
                <w:bCs/>
                <w:spacing w:val="8"/>
                <w:sz w:val="24"/>
                <w:szCs w:val="24"/>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vAlign w:val="center"/>
          </w:tcPr>
          <w:p>
            <w:pPr>
              <w:adjustRightInd w:val="0"/>
              <w:spacing w:line="320" w:lineRule="exact"/>
              <w:jc w:val="center"/>
              <w:rPr>
                <w:rFonts w:cs="SimSun" w:asciiTheme="minorEastAsia" w:hAnsiTheme="minorEastAsia"/>
                <w:kern w:val="0"/>
                <w:sz w:val="24"/>
                <w:szCs w:val="24"/>
                <w:lang w:val="zh-CN"/>
              </w:rPr>
            </w:pPr>
            <w:r>
              <w:rPr>
                <w:rFonts w:hint="eastAsia" w:cs="SimSun" w:asciiTheme="minorEastAsia" w:hAnsiTheme="minorEastAsia"/>
                <w:kern w:val="0"/>
                <w:sz w:val="24"/>
                <w:szCs w:val="24"/>
                <w:lang w:val="zh-CN"/>
              </w:rPr>
              <w:t>1</w:t>
            </w:r>
          </w:p>
        </w:tc>
        <w:tc>
          <w:tcPr>
            <w:tcW w:w="2835" w:type="dxa"/>
            <w:vAlign w:val="center"/>
          </w:tcPr>
          <w:p>
            <w:pPr>
              <w:adjustRightInd w:val="0"/>
              <w:spacing w:line="320" w:lineRule="exact"/>
              <w:rPr>
                <w:rFonts w:cs="SimSun" w:asciiTheme="minorEastAsia" w:hAnsiTheme="minorEastAsia"/>
                <w:kern w:val="0"/>
                <w:sz w:val="24"/>
                <w:szCs w:val="24"/>
                <w:lang w:val="zh-CN"/>
              </w:rPr>
            </w:pPr>
            <w:r>
              <w:rPr>
                <w:rFonts w:hint="eastAsia" w:cs="SimSun" w:asciiTheme="minorEastAsia" w:hAnsiTheme="minorEastAsia"/>
                <w:kern w:val="0"/>
                <w:sz w:val="24"/>
                <w:szCs w:val="24"/>
                <w:lang w:val="zh-CN"/>
              </w:rPr>
              <w:t>服务期限</w:t>
            </w:r>
            <w:r>
              <w:rPr>
                <w:rFonts w:cs="SimSun" w:asciiTheme="minorEastAsia" w:hAnsiTheme="minorEastAsia"/>
                <w:kern w:val="0"/>
                <w:sz w:val="24"/>
                <w:szCs w:val="24"/>
                <w:lang w:val="zh-CN"/>
              </w:rPr>
              <w:t>/</w:t>
            </w:r>
            <w:r>
              <w:rPr>
                <w:rFonts w:hint="eastAsia" w:cs="SimSun" w:asciiTheme="minorEastAsia" w:hAnsiTheme="minorEastAsia"/>
                <w:kern w:val="0"/>
                <w:sz w:val="24"/>
                <w:szCs w:val="24"/>
                <w:lang w:val="zh-CN"/>
              </w:rPr>
              <w:t>交货时间/工期要求</w:t>
            </w:r>
          </w:p>
        </w:tc>
        <w:tc>
          <w:tcPr>
            <w:tcW w:w="4892" w:type="dxa"/>
          </w:tcPr>
          <w:p>
            <w:pPr>
              <w:spacing w:line="360" w:lineRule="auto"/>
              <w:rPr>
                <w:rFonts w:asciiTheme="minorEastAsia" w:hAnsiTheme="minorEastAsia"/>
                <w:bCs/>
                <w:spacing w:val="8"/>
                <w:sz w:val="24"/>
                <w:szCs w:val="24"/>
              </w:rPr>
            </w:pPr>
            <w:r>
              <w:rPr>
                <w:rFonts w:hint="eastAsia" w:asciiTheme="minorEastAsia" w:hAnsiTheme="minorEastAsia"/>
                <w:bCs/>
                <w:spacing w:val="8"/>
                <w:sz w:val="24"/>
                <w:szCs w:val="24"/>
              </w:rPr>
              <w:t>供应商在收到成交公告后7日内必须与采购人签订合同；合同签订后15日内完成合同总量100%供货。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vAlign w:val="center"/>
          </w:tcPr>
          <w:p>
            <w:pPr>
              <w:adjustRightInd w:val="0"/>
              <w:spacing w:line="320" w:lineRule="exact"/>
              <w:jc w:val="center"/>
              <w:rPr>
                <w:rFonts w:cs="SimSun" w:asciiTheme="minorEastAsia" w:hAnsiTheme="minorEastAsia"/>
                <w:kern w:val="0"/>
                <w:sz w:val="24"/>
                <w:szCs w:val="24"/>
                <w:lang w:val="zh-CN"/>
              </w:rPr>
            </w:pPr>
            <w:r>
              <w:rPr>
                <w:rFonts w:hint="eastAsia" w:cs="SimSun" w:asciiTheme="minorEastAsia" w:hAnsiTheme="minorEastAsia"/>
                <w:kern w:val="0"/>
                <w:sz w:val="24"/>
                <w:szCs w:val="24"/>
                <w:lang w:val="zh-CN"/>
              </w:rPr>
              <w:t>2</w:t>
            </w:r>
          </w:p>
        </w:tc>
        <w:tc>
          <w:tcPr>
            <w:tcW w:w="2835" w:type="dxa"/>
            <w:vAlign w:val="center"/>
          </w:tcPr>
          <w:p>
            <w:pPr>
              <w:adjustRightInd w:val="0"/>
              <w:spacing w:line="320" w:lineRule="exact"/>
              <w:rPr>
                <w:rFonts w:cs="SimSun" w:asciiTheme="minorEastAsia" w:hAnsiTheme="minorEastAsia"/>
                <w:kern w:val="0"/>
                <w:sz w:val="24"/>
                <w:szCs w:val="24"/>
                <w:lang w:val="zh-CN"/>
              </w:rPr>
            </w:pPr>
            <w:r>
              <w:rPr>
                <w:rFonts w:hint="eastAsia" w:cs="SimSun" w:asciiTheme="minorEastAsia" w:hAnsiTheme="minorEastAsia"/>
                <w:kern w:val="0"/>
                <w:sz w:val="24"/>
                <w:szCs w:val="24"/>
                <w:lang w:val="zh-CN"/>
              </w:rPr>
              <w:t>交货</w:t>
            </w:r>
            <w:r>
              <w:rPr>
                <w:rFonts w:cs="SimSun" w:asciiTheme="minorEastAsia" w:hAnsiTheme="minorEastAsia"/>
                <w:kern w:val="0"/>
                <w:sz w:val="24"/>
                <w:szCs w:val="24"/>
                <w:lang w:val="zh-CN"/>
              </w:rPr>
              <w:t>地点</w:t>
            </w:r>
          </w:p>
        </w:tc>
        <w:tc>
          <w:tcPr>
            <w:tcW w:w="4892" w:type="dxa"/>
          </w:tcPr>
          <w:p>
            <w:pPr>
              <w:spacing w:line="360" w:lineRule="auto"/>
              <w:rPr>
                <w:rFonts w:asciiTheme="minorEastAsia" w:hAnsiTheme="minorEastAsia"/>
                <w:bCs/>
                <w:spacing w:val="8"/>
                <w:sz w:val="24"/>
                <w:szCs w:val="24"/>
              </w:rPr>
            </w:pPr>
            <w:r>
              <w:rPr>
                <w:rFonts w:hint="eastAsia" w:asciiTheme="minorEastAsia" w:hAnsiTheme="minorEastAsia"/>
                <w:bCs/>
                <w:spacing w:val="8"/>
                <w:sz w:val="24"/>
                <w:szCs w:val="24"/>
              </w:rPr>
              <w:t>万源市中心医院。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vAlign w:val="center"/>
          </w:tcPr>
          <w:p>
            <w:pPr>
              <w:adjustRightInd w:val="0"/>
              <w:spacing w:line="320" w:lineRule="exact"/>
              <w:jc w:val="center"/>
              <w:rPr>
                <w:rFonts w:cs="SimSun" w:asciiTheme="minorEastAsia" w:hAnsiTheme="minorEastAsia"/>
                <w:kern w:val="0"/>
                <w:sz w:val="24"/>
                <w:szCs w:val="24"/>
                <w:lang w:val="zh-CN"/>
              </w:rPr>
            </w:pPr>
            <w:r>
              <w:rPr>
                <w:rFonts w:cs="SimSun" w:asciiTheme="minorEastAsia" w:hAnsiTheme="minorEastAsia"/>
                <w:kern w:val="0"/>
                <w:sz w:val="24"/>
                <w:szCs w:val="24"/>
                <w:lang w:val="zh-CN"/>
              </w:rPr>
              <w:t>3</w:t>
            </w:r>
          </w:p>
        </w:tc>
        <w:tc>
          <w:tcPr>
            <w:tcW w:w="2835" w:type="dxa"/>
            <w:vAlign w:val="center"/>
          </w:tcPr>
          <w:p>
            <w:pPr>
              <w:adjustRightInd w:val="0"/>
              <w:spacing w:line="320" w:lineRule="exact"/>
              <w:rPr>
                <w:rFonts w:cs="SimSun" w:asciiTheme="minorEastAsia" w:hAnsiTheme="minorEastAsia"/>
                <w:kern w:val="0"/>
                <w:sz w:val="24"/>
                <w:szCs w:val="24"/>
                <w:lang w:val="zh-CN"/>
              </w:rPr>
            </w:pPr>
            <w:r>
              <w:rPr>
                <w:rFonts w:hint="eastAsia" w:cs="SimSun" w:asciiTheme="minorEastAsia" w:hAnsiTheme="minorEastAsia"/>
                <w:kern w:val="0"/>
                <w:sz w:val="24"/>
                <w:szCs w:val="24"/>
                <w:lang w:val="zh-CN"/>
              </w:rPr>
              <w:t>履约、验收要求与标准</w:t>
            </w:r>
          </w:p>
        </w:tc>
        <w:tc>
          <w:tcPr>
            <w:tcW w:w="4892" w:type="dxa"/>
          </w:tcPr>
          <w:p>
            <w:pPr>
              <w:autoSpaceDE w:val="0"/>
              <w:autoSpaceDN w:val="0"/>
              <w:spacing w:line="360" w:lineRule="auto"/>
              <w:rPr>
                <w:rFonts w:asciiTheme="minorEastAsia" w:hAnsiTheme="minorEastAsia"/>
                <w:bCs/>
                <w:spacing w:val="8"/>
                <w:sz w:val="24"/>
                <w:szCs w:val="24"/>
              </w:rPr>
            </w:pPr>
            <w:r>
              <w:rPr>
                <w:rFonts w:hint="eastAsia" w:asciiTheme="minorEastAsia" w:hAnsiTheme="minorEastAsia"/>
                <w:bCs/>
                <w:spacing w:val="8"/>
                <w:sz w:val="24"/>
                <w:szCs w:val="24"/>
              </w:rPr>
              <w:t>（1）由采购人组织相关专家，邀请财政监管部门及单位监督人员参与验收；</w:t>
            </w:r>
          </w:p>
          <w:p>
            <w:pPr>
              <w:autoSpaceDE w:val="0"/>
              <w:autoSpaceDN w:val="0"/>
              <w:spacing w:line="360" w:lineRule="auto"/>
              <w:rPr>
                <w:rFonts w:asciiTheme="minorEastAsia" w:hAnsiTheme="minorEastAsia"/>
                <w:bCs/>
                <w:spacing w:val="8"/>
                <w:sz w:val="24"/>
                <w:szCs w:val="24"/>
              </w:rPr>
            </w:pPr>
            <w:r>
              <w:rPr>
                <w:rFonts w:hint="eastAsia" w:asciiTheme="minorEastAsia" w:hAnsiTheme="minorEastAsia"/>
                <w:bCs/>
                <w:spacing w:val="8"/>
                <w:sz w:val="24"/>
                <w:szCs w:val="24"/>
              </w:rPr>
              <w:t>（2）验收合格后，采购人向成交供应商出具《履约验收报告》；</w:t>
            </w:r>
          </w:p>
          <w:p>
            <w:pPr>
              <w:autoSpaceDE w:val="0"/>
              <w:autoSpaceDN w:val="0"/>
              <w:spacing w:line="360" w:lineRule="auto"/>
              <w:rPr>
                <w:rFonts w:asciiTheme="minorEastAsia" w:hAnsiTheme="minorEastAsia"/>
                <w:bCs/>
                <w:spacing w:val="8"/>
                <w:sz w:val="24"/>
                <w:szCs w:val="24"/>
              </w:rPr>
            </w:pPr>
            <w:r>
              <w:rPr>
                <w:rFonts w:asciiTheme="minorEastAsia" w:hAnsiTheme="minorEastAsia"/>
                <w:bCs/>
                <w:spacing w:val="8"/>
                <w:sz w:val="24"/>
                <w:szCs w:val="24"/>
              </w:rPr>
              <w:t>（3）</w:t>
            </w:r>
            <w:r>
              <w:rPr>
                <w:rFonts w:hint="eastAsia" w:asciiTheme="minorEastAsia" w:hAnsiTheme="minorEastAsia"/>
                <w:bCs/>
                <w:spacing w:val="8"/>
                <w:sz w:val="24"/>
                <w:szCs w:val="24"/>
              </w:rPr>
              <w:t>采购人在验收产品时将对供应商递交的产品进行逐一验证，如有任何一项与其响应文件不符，将拒绝验收，由此引起的一切责任均由供应商自行承担。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vAlign w:val="center"/>
          </w:tcPr>
          <w:p>
            <w:pPr>
              <w:adjustRightInd w:val="0"/>
              <w:spacing w:line="320" w:lineRule="exact"/>
              <w:jc w:val="center"/>
              <w:rPr>
                <w:rFonts w:cs="SimSun" w:asciiTheme="minorEastAsia" w:hAnsiTheme="minorEastAsia"/>
                <w:kern w:val="0"/>
                <w:sz w:val="24"/>
                <w:szCs w:val="24"/>
                <w:lang w:val="zh-CN"/>
              </w:rPr>
            </w:pPr>
            <w:r>
              <w:rPr>
                <w:rFonts w:cs="SimSun" w:asciiTheme="minorEastAsia" w:hAnsiTheme="minorEastAsia"/>
                <w:kern w:val="0"/>
                <w:sz w:val="24"/>
                <w:szCs w:val="24"/>
                <w:lang w:val="zh-CN"/>
              </w:rPr>
              <w:t>4</w:t>
            </w:r>
          </w:p>
        </w:tc>
        <w:tc>
          <w:tcPr>
            <w:tcW w:w="2835" w:type="dxa"/>
            <w:vAlign w:val="center"/>
          </w:tcPr>
          <w:p>
            <w:pPr>
              <w:adjustRightInd w:val="0"/>
              <w:spacing w:line="320" w:lineRule="exact"/>
              <w:rPr>
                <w:rFonts w:cs="SimSun" w:asciiTheme="minorEastAsia" w:hAnsiTheme="minorEastAsia"/>
                <w:kern w:val="0"/>
                <w:sz w:val="24"/>
                <w:szCs w:val="24"/>
                <w:lang w:val="zh-CN"/>
              </w:rPr>
            </w:pPr>
            <w:r>
              <w:rPr>
                <w:rFonts w:hint="eastAsia" w:cs="SimSun" w:asciiTheme="minorEastAsia" w:hAnsiTheme="minorEastAsia"/>
                <w:kern w:val="0"/>
                <w:sz w:val="24"/>
                <w:szCs w:val="24"/>
                <w:lang w:val="zh-CN"/>
              </w:rPr>
              <w:t>款项支付方式、进度</w:t>
            </w:r>
          </w:p>
        </w:tc>
        <w:tc>
          <w:tcPr>
            <w:tcW w:w="4892" w:type="dxa"/>
          </w:tcPr>
          <w:p>
            <w:pPr>
              <w:rPr>
                <w:rFonts w:asciiTheme="minorEastAsia" w:hAnsiTheme="minorEastAsia"/>
                <w:bCs/>
                <w:spacing w:val="8"/>
                <w:sz w:val="24"/>
                <w:szCs w:val="24"/>
              </w:rPr>
            </w:pPr>
            <w:r>
              <w:rPr>
                <w:rFonts w:hint="eastAsia" w:asciiTheme="minorEastAsia" w:hAnsiTheme="minorEastAsia"/>
                <w:bCs/>
                <w:spacing w:val="8"/>
                <w:sz w:val="24"/>
                <w:szCs w:val="24"/>
              </w:rPr>
              <w:t>全部货物收到验收</w:t>
            </w:r>
            <w:r>
              <w:rPr>
                <w:rFonts w:hint="eastAsia" w:asciiTheme="minorEastAsia" w:hAnsiTheme="minorEastAsia"/>
                <w:b/>
                <w:bCs/>
                <w:spacing w:val="8"/>
                <w:sz w:val="24"/>
                <w:szCs w:val="24"/>
                <w:highlight w:val="darkGray"/>
              </w:rPr>
              <w:t>合格后，60个工</w:t>
            </w:r>
            <w:r>
              <w:rPr>
                <w:rFonts w:hint="eastAsia" w:asciiTheme="minorEastAsia" w:hAnsiTheme="minorEastAsia"/>
                <w:bCs/>
                <w:spacing w:val="8"/>
                <w:sz w:val="24"/>
                <w:szCs w:val="24"/>
              </w:rPr>
              <w:t>作日内一次性付清。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915" w:type="dxa"/>
            <w:vAlign w:val="center"/>
          </w:tcPr>
          <w:p>
            <w:pPr>
              <w:adjustRightInd w:val="0"/>
              <w:spacing w:line="320" w:lineRule="exact"/>
              <w:jc w:val="center"/>
              <w:rPr>
                <w:rFonts w:cs="SimSun" w:asciiTheme="minorEastAsia" w:hAnsiTheme="minorEastAsia"/>
                <w:kern w:val="0"/>
                <w:sz w:val="24"/>
                <w:szCs w:val="24"/>
                <w:lang w:val="zh-CN"/>
              </w:rPr>
            </w:pPr>
            <w:r>
              <w:rPr>
                <w:rFonts w:cs="SimSun" w:asciiTheme="minorEastAsia" w:hAnsiTheme="minorEastAsia"/>
                <w:kern w:val="0"/>
                <w:sz w:val="24"/>
                <w:szCs w:val="24"/>
                <w:lang w:val="zh-CN"/>
              </w:rPr>
              <w:t>7</w:t>
            </w:r>
          </w:p>
        </w:tc>
        <w:tc>
          <w:tcPr>
            <w:tcW w:w="2835" w:type="dxa"/>
            <w:vAlign w:val="center"/>
          </w:tcPr>
          <w:p>
            <w:pPr>
              <w:adjustRightInd w:val="0"/>
              <w:spacing w:line="320" w:lineRule="exact"/>
              <w:rPr>
                <w:rFonts w:cs="SimSun" w:asciiTheme="minorEastAsia" w:hAnsiTheme="minorEastAsia"/>
                <w:kern w:val="0"/>
                <w:sz w:val="24"/>
                <w:szCs w:val="24"/>
                <w:lang w:val="zh-CN"/>
              </w:rPr>
            </w:pPr>
            <w:r>
              <w:rPr>
                <w:rFonts w:hint="eastAsia" w:cs="SimSun" w:asciiTheme="minorEastAsia" w:hAnsiTheme="minorEastAsia"/>
                <w:kern w:val="0"/>
                <w:sz w:val="24"/>
                <w:szCs w:val="24"/>
                <w:lang w:val="zh-CN"/>
              </w:rPr>
              <w:t>其他</w:t>
            </w:r>
          </w:p>
        </w:tc>
        <w:tc>
          <w:tcPr>
            <w:tcW w:w="4892" w:type="dxa"/>
          </w:tcPr>
          <w:p>
            <w:pPr>
              <w:adjustRightInd w:val="0"/>
              <w:spacing w:line="320" w:lineRule="exact"/>
              <w:rPr>
                <w:rFonts w:asciiTheme="minorEastAsia" w:hAnsiTheme="minorEastAsia"/>
                <w:bCs/>
                <w:spacing w:val="8"/>
                <w:sz w:val="24"/>
                <w:szCs w:val="24"/>
              </w:rPr>
            </w:pPr>
            <w:r>
              <w:rPr>
                <w:rFonts w:asciiTheme="minorEastAsia" w:hAnsiTheme="minorEastAsia"/>
                <w:bCs/>
                <w:spacing w:val="8"/>
                <w:sz w:val="24"/>
                <w:szCs w:val="24"/>
              </w:rPr>
              <w:t>（1）</w:t>
            </w:r>
            <w:r>
              <w:rPr>
                <w:rFonts w:hint="eastAsia" w:asciiTheme="minorEastAsia" w:hAnsiTheme="minorEastAsia"/>
                <w:bCs/>
                <w:spacing w:val="8"/>
                <w:sz w:val="24"/>
                <w:szCs w:val="24"/>
              </w:rPr>
              <w:t>供应商提供全新的货物，表面无划痕、无碰撞痕迹，不得伤害他人知识产权；</w:t>
            </w:r>
          </w:p>
          <w:p>
            <w:pPr>
              <w:adjustRightInd w:val="0"/>
              <w:spacing w:line="320" w:lineRule="exact"/>
              <w:rPr>
                <w:rFonts w:asciiTheme="minorEastAsia" w:hAnsiTheme="minorEastAsia"/>
                <w:bCs/>
                <w:spacing w:val="8"/>
                <w:sz w:val="24"/>
                <w:szCs w:val="24"/>
              </w:rPr>
            </w:pPr>
            <w:r>
              <w:rPr>
                <w:rFonts w:hint="eastAsia" w:asciiTheme="minorEastAsia" w:hAnsiTheme="minorEastAsia"/>
                <w:bCs/>
                <w:spacing w:val="8"/>
                <w:sz w:val="24"/>
                <w:szCs w:val="24"/>
              </w:rPr>
              <w:t>（2）医用口罩、医用外科口罩、一次性医用防护服、医用防护口罩、一次性医用帽子、隔离衣、医用外科手套、乳胶手套均要求无菌；医用外科口罩、医用防护口罩、一次性医用防护服、隔离衣均为独立包装；医用外科手套、乳胶手套为独立包装或以“副”为单位包装；</w:t>
            </w:r>
          </w:p>
          <w:p>
            <w:pPr>
              <w:adjustRightInd w:val="0"/>
              <w:spacing w:line="320" w:lineRule="exact"/>
              <w:rPr>
                <w:rFonts w:asciiTheme="minorEastAsia" w:hAnsiTheme="minorEastAsia"/>
                <w:bCs/>
                <w:spacing w:val="8"/>
                <w:sz w:val="24"/>
                <w:szCs w:val="24"/>
              </w:rPr>
            </w:pPr>
            <w:r>
              <w:rPr>
                <w:rFonts w:hint="eastAsia" w:asciiTheme="minorEastAsia" w:hAnsiTheme="minorEastAsia"/>
                <w:bCs/>
                <w:spacing w:val="8"/>
                <w:sz w:val="24"/>
                <w:szCs w:val="24"/>
              </w:rPr>
              <w:t>（3）成交供应商在交货时，提供生产厂家针对此项目所投产品的质量保证协议及符合应答产品的声明和授权书（生产厂家盖鲜章）；</w:t>
            </w:r>
          </w:p>
          <w:p>
            <w:pPr>
              <w:adjustRightInd w:val="0"/>
              <w:spacing w:line="320" w:lineRule="exact"/>
              <w:rPr>
                <w:rFonts w:asciiTheme="minorEastAsia" w:hAnsiTheme="minorEastAsia"/>
                <w:bCs/>
                <w:spacing w:val="8"/>
                <w:sz w:val="24"/>
                <w:szCs w:val="24"/>
              </w:rPr>
            </w:pPr>
            <w:r>
              <w:rPr>
                <w:rFonts w:hint="eastAsia" w:asciiTheme="minorEastAsia" w:hAnsiTheme="minorEastAsia"/>
                <w:bCs/>
                <w:spacing w:val="8"/>
                <w:sz w:val="24"/>
                <w:szCs w:val="24"/>
              </w:rPr>
              <w:t>（4）所提交的产品距生产日期不得大于3个月。</w:t>
            </w:r>
          </w:p>
        </w:tc>
      </w:tr>
    </w:tbl>
    <w:p>
      <w:pPr>
        <w:spacing w:line="360" w:lineRule="auto"/>
        <w:rPr>
          <w:sz w:val="24"/>
        </w:rPr>
      </w:pPr>
    </w:p>
    <w:p>
      <w:pPr>
        <w:adjustRightInd w:val="0"/>
        <w:spacing w:line="480" w:lineRule="exact"/>
        <w:ind w:firstLine="501" w:firstLineChars="196"/>
        <w:rPr>
          <w:rFonts w:ascii="SimSun" w:hAnsi="SimSun"/>
          <w:bCs/>
          <w:color w:val="000000"/>
          <w:spacing w:val="8"/>
          <w:sz w:val="24"/>
        </w:rPr>
      </w:pPr>
    </w:p>
    <w:p>
      <w:pPr>
        <w:widowControl/>
        <w:jc w:val="left"/>
        <w:rPr>
          <w:b/>
          <w:color w:val="000000"/>
          <w:sz w:val="40"/>
        </w:rPr>
      </w:pPr>
    </w:p>
    <w:p/>
    <w:sectPr>
      <w:pgSz w:w="11906" w:h="16838"/>
      <w:pgMar w:top="851" w:right="1416" w:bottom="851"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Microsoft YaHei">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5A6"/>
    <w:rsid w:val="000E1DF3"/>
    <w:rsid w:val="00102AED"/>
    <w:rsid w:val="001821AF"/>
    <w:rsid w:val="0023076F"/>
    <w:rsid w:val="00265958"/>
    <w:rsid w:val="00314711"/>
    <w:rsid w:val="00337195"/>
    <w:rsid w:val="0058707C"/>
    <w:rsid w:val="005C6F48"/>
    <w:rsid w:val="00631DCB"/>
    <w:rsid w:val="006545A6"/>
    <w:rsid w:val="006634C9"/>
    <w:rsid w:val="00717B08"/>
    <w:rsid w:val="00764ED6"/>
    <w:rsid w:val="008011CA"/>
    <w:rsid w:val="008762A8"/>
    <w:rsid w:val="0093424D"/>
    <w:rsid w:val="009466C0"/>
    <w:rsid w:val="009475D3"/>
    <w:rsid w:val="009C675A"/>
    <w:rsid w:val="00A20FE4"/>
    <w:rsid w:val="00B2719E"/>
    <w:rsid w:val="00B40A61"/>
    <w:rsid w:val="00C807AC"/>
    <w:rsid w:val="00E82905"/>
    <w:rsid w:val="00F146AF"/>
    <w:rsid w:val="07D85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0"/>
    <w:pPr>
      <w:keepNext/>
      <w:keepLines/>
      <w:spacing w:before="340" w:after="330" w:line="578" w:lineRule="auto"/>
      <w:outlineLvl w:val="0"/>
    </w:pPr>
    <w:rPr>
      <w:rFonts w:ascii="Times New Roman" w:hAnsi="Times New Roman" w:eastAsia="SimSun" w:cs="Times New Roman"/>
      <w:b/>
      <w:bCs/>
      <w:kern w:val="44"/>
      <w:sz w:val="44"/>
      <w:szCs w:val="44"/>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1"/>
    <w:semiHidden/>
    <w:unhideWhenUsed/>
    <w:uiPriority w:val="99"/>
    <w:pPr>
      <w:ind w:left="100" w:leftChars="2500"/>
    </w:pPr>
  </w:style>
  <w:style w:type="paragraph" w:styleId="4">
    <w:name w:val="footer"/>
    <w:basedOn w:val="1"/>
    <w:link w:val="13"/>
    <w:semiHidden/>
    <w:unhideWhenUsed/>
    <w:uiPriority w:val="99"/>
    <w:pPr>
      <w:tabs>
        <w:tab w:val="center" w:pos="4153"/>
        <w:tab w:val="right" w:pos="8306"/>
      </w:tabs>
      <w:snapToGrid w:val="0"/>
      <w:jc w:val="left"/>
    </w:pPr>
    <w:rPr>
      <w:sz w:val="18"/>
      <w:szCs w:val="18"/>
    </w:rPr>
  </w:style>
  <w:style w:type="paragraph" w:styleId="5">
    <w:name w:val="header"/>
    <w:basedOn w:val="1"/>
    <w:link w:val="12"/>
    <w:semiHidden/>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spacing w:before="100" w:beforeAutospacing="1" w:after="100" w:afterAutospacing="1"/>
      <w:jc w:val="left"/>
    </w:pPr>
    <w:rPr>
      <w:rFonts w:ascii="SimSun" w:hAnsi="SimSun" w:eastAsia="SimSun" w:cs="SimSun"/>
      <w:kern w:val="0"/>
      <w:sz w:val="24"/>
      <w:szCs w:val="24"/>
    </w:rPr>
  </w:style>
  <w:style w:type="table" w:styleId="8">
    <w:name w:val="Table Grid"/>
    <w:basedOn w:val="7"/>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0">
    <w:name w:val="标题 1 Char"/>
    <w:basedOn w:val="9"/>
    <w:link w:val="2"/>
    <w:qFormat/>
    <w:uiPriority w:val="0"/>
    <w:rPr>
      <w:rFonts w:ascii="Times New Roman" w:hAnsi="Times New Roman" w:eastAsia="SimSun" w:cs="Times New Roman"/>
      <w:b/>
      <w:bCs/>
      <w:kern w:val="44"/>
      <w:sz w:val="44"/>
      <w:szCs w:val="44"/>
    </w:rPr>
  </w:style>
  <w:style w:type="character" w:customStyle="1" w:styleId="11">
    <w:name w:val="日期 Char"/>
    <w:basedOn w:val="9"/>
    <w:link w:val="3"/>
    <w:semiHidden/>
    <w:uiPriority w:val="99"/>
  </w:style>
  <w:style w:type="character" w:customStyle="1" w:styleId="12">
    <w:name w:val="页眉 Char"/>
    <w:basedOn w:val="9"/>
    <w:link w:val="5"/>
    <w:semiHidden/>
    <w:uiPriority w:val="99"/>
    <w:rPr>
      <w:sz w:val="18"/>
      <w:szCs w:val="18"/>
    </w:rPr>
  </w:style>
  <w:style w:type="character" w:customStyle="1" w:styleId="13">
    <w:name w:val="页脚 Char"/>
    <w:basedOn w:val="9"/>
    <w:link w:val="4"/>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2723</Words>
  <Characters>3042</Characters>
  <Lines>23</Lines>
  <Paragraphs>6</Paragraphs>
  <TotalTime>415</TotalTime>
  <ScaleCrop>false</ScaleCrop>
  <LinksUpToDate>false</LinksUpToDate>
  <CharactersWithSpaces>3087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2022-03-23T08:33:00Z</dcterms:created>
  <dc:creator>微软用户</dc:creator>
  <cp:lastModifiedBy>董</cp:lastModifiedBy>
  <cp:lastPrinted>2022-03-24T07:08:00Z</cp:lastPrinted>
  <dcterms:modified xsi:type="dcterms:W3CDTF">2022-03-28T07:58:39Z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1496CBC18E434D2BAC746249CCD90706</vt:lpwstr>
  </property>
</Properties>
</file>