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Style w:val="8"/>
          <w:b/>
          <w:sz w:val="44"/>
          <w:szCs w:val="44"/>
        </w:rPr>
      </w:pPr>
      <w:r>
        <w:rPr>
          <w:rStyle w:val="8"/>
          <w:rFonts w:hint="eastAsia"/>
          <w:b/>
          <w:sz w:val="44"/>
          <w:szCs w:val="44"/>
        </w:rPr>
        <w:t>附件：</w:t>
      </w:r>
    </w:p>
    <w:tbl>
      <w:tblPr>
        <w:tblStyle w:val="5"/>
        <w:tblW w:w="9072"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5"/>
        <w:gridCol w:w="1069"/>
        <w:gridCol w:w="6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2264" w:type="dxa"/>
            <w:gridSpan w:val="2"/>
            <w:noWrap/>
          </w:tcPr>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hint="eastAsia" w:ascii="宋体" w:hAnsi="宋体" w:cs="宋体"/>
                <w:sz w:val="24"/>
                <w:lang w:val="zh-CN"/>
              </w:rPr>
            </w:pPr>
            <w:r>
              <w:rPr>
                <w:rFonts w:hint="eastAsia" w:ascii="宋体" w:hAnsi="宋体" w:cs="宋体"/>
                <w:sz w:val="24"/>
                <w:lang w:val="zh-CN"/>
              </w:rPr>
              <w:t>产品组件</w:t>
            </w:r>
          </w:p>
        </w:tc>
        <w:tc>
          <w:tcPr>
            <w:tcW w:w="6808" w:type="dxa"/>
            <w:noWrap/>
          </w:tcPr>
          <w:p>
            <w:pPr>
              <w:spacing w:line="360" w:lineRule="auto"/>
              <w:jc w:val="lef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用途及功能说明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195" w:type="dxa"/>
            <w:shd w:val="clear" w:color="auto" w:fill="FFFFFF" w:themeFill="background1"/>
            <w:noWrap/>
          </w:tcPr>
          <w:p>
            <w:pPr>
              <w:pageBreakBefore w:val="0"/>
              <w:widowControl w:val="0"/>
              <w:kinsoku/>
              <w:wordWrap/>
              <w:overflowPunct/>
              <w:topLinePunct w:val="0"/>
              <w:autoSpaceDE w:val="0"/>
              <w:autoSpaceDN w:val="0"/>
              <w:bidi w:val="0"/>
              <w:adjustRightInd w:val="0"/>
              <w:spacing w:line="460" w:lineRule="exact"/>
              <w:jc w:val="left"/>
              <w:textAlignment w:val="auto"/>
              <w:rPr>
                <w:rFonts w:hint="eastAsia" w:ascii="宋体" w:hAnsi="宋体" w:cs="宋体"/>
                <w:sz w:val="24"/>
                <w:lang w:val="zh-CN"/>
              </w:rPr>
            </w:pPr>
            <w:r>
              <w:rPr>
                <w:rFonts w:hint="eastAsia" w:ascii="宋体" w:hAnsi="宋体" w:cs="宋体"/>
                <w:sz w:val="24"/>
                <w:lang w:val="zh-CN" w:eastAsia="zh-CN"/>
              </w:rPr>
              <w:t>一体化健康码人脸测温验证终端</w:t>
            </w:r>
          </w:p>
        </w:tc>
        <w:tc>
          <w:tcPr>
            <w:tcW w:w="1069" w:type="dxa"/>
            <w:shd w:val="clear" w:color="auto" w:fill="FFFFFF" w:themeFill="background1"/>
            <w:noWrap/>
          </w:tcPr>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hint="eastAsia" w:ascii="宋体" w:hAnsi="宋体" w:cs="宋体"/>
                <w:sz w:val="24"/>
                <w:lang w:val="zh-CN"/>
              </w:rPr>
            </w:pPr>
          </w:p>
        </w:tc>
        <w:tc>
          <w:tcPr>
            <w:tcW w:w="6808" w:type="dxa"/>
            <w:shd w:val="clear" w:color="auto" w:fill="FFFFFF" w:themeFill="background1"/>
            <w:noWrap/>
          </w:tcPr>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hint="eastAsia" w:ascii="宋体" w:hAnsi="宋体" w:cs="宋体"/>
                <w:sz w:val="24"/>
                <w:lang w:val="zh-CN"/>
              </w:rPr>
            </w:pPr>
            <w:r>
              <w:rPr>
                <w:rFonts w:hint="eastAsia" w:ascii="宋体" w:hAnsi="宋体" w:cs="宋体"/>
                <w:sz w:val="24"/>
                <w:lang w:val="zh-CN"/>
              </w:rPr>
              <w:t>①　具有人证比对功能：刷身份证时进行人证比对，确保人员为身份证持有者本人。</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hint="eastAsia" w:ascii="宋体" w:hAnsi="宋体" w:cs="宋体"/>
                <w:sz w:val="24"/>
                <w:lang w:val="zh-CN"/>
              </w:rPr>
            </w:pPr>
            <w:r>
              <w:rPr>
                <w:rFonts w:hint="eastAsia" w:ascii="宋体" w:hAnsi="宋体" w:cs="宋体"/>
                <w:sz w:val="24"/>
                <w:lang w:val="zh-CN"/>
              </w:rPr>
              <w:t>人脸识别查询健康码：对已注册人员，采用人脸识别方式进行健康码状态查询、体温检测；无需刷健康码或身份证。</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hint="eastAsia" w:ascii="宋体" w:hAnsi="宋体" w:cs="宋体"/>
                <w:sz w:val="24"/>
                <w:lang w:val="zh-CN"/>
              </w:rPr>
            </w:pPr>
            <w:r>
              <w:rPr>
                <w:rFonts w:hint="eastAsia" w:ascii="宋体" w:hAnsi="宋体" w:cs="宋体"/>
                <w:sz w:val="24"/>
                <w:lang w:val="zh-CN"/>
              </w:rPr>
              <w:t>未带口罩禁止通行：如未佩戴口罩，则禁止通行。</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hint="eastAsia" w:ascii="宋体" w:hAnsi="宋体" w:cs="宋体"/>
                <w:sz w:val="24"/>
                <w:lang w:val="zh-CN"/>
              </w:rPr>
            </w:pPr>
            <w:r>
              <w:rPr>
                <w:rFonts w:hint="eastAsia" w:ascii="宋体" w:hAnsi="宋体" w:cs="宋体"/>
                <w:sz w:val="24"/>
                <w:lang w:val="zh-CN"/>
              </w:rPr>
              <w:t>不测温配置：可对系统配置不进行测温，满足疫情结束后的正常使用通行。</w:t>
            </w:r>
          </w:p>
          <w:p>
            <w:pPr>
              <w:pStyle w:val="2"/>
              <w:rPr>
                <w:lang w:val="zh-CN"/>
              </w:rPr>
            </w:pPr>
            <w:r>
              <w:rPr>
                <w:rFonts w:hint="eastAsia" w:ascii="宋体" w:hAnsi="宋体" w:cs="宋体"/>
                <w:sz w:val="24"/>
                <w:lang w:val="zh-CN"/>
              </w:rPr>
              <w:t>支持绑定场所码：实现对单位身份的标识。</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②　采用Linux操作系统。屏幕尺寸不低</w:t>
            </w:r>
            <w:r>
              <w:rPr>
                <w:rFonts w:hint="eastAsia" w:ascii="宋体" w:hAnsi="宋体" w:cs="宋体"/>
                <w:sz w:val="24"/>
              </w:rPr>
              <w:t>8</w:t>
            </w:r>
            <w:r>
              <w:rPr>
                <w:rFonts w:hint="eastAsia" w:ascii="宋体" w:hAnsi="宋体" w:cs="宋体"/>
                <w:sz w:val="24"/>
                <w:lang w:val="zh-CN"/>
              </w:rPr>
              <w:t>寸高清显示屏，分辨率不低于1</w:t>
            </w:r>
            <w:r>
              <w:rPr>
                <w:rFonts w:hint="eastAsia" w:ascii="宋体" w:hAnsi="宋体" w:cs="宋体"/>
                <w:sz w:val="24"/>
              </w:rPr>
              <w:t>2</w:t>
            </w:r>
            <w:r>
              <w:rPr>
                <w:rFonts w:hint="eastAsia" w:ascii="宋体" w:hAnsi="宋体" w:cs="宋体"/>
                <w:sz w:val="24"/>
                <w:lang w:val="zh-CN"/>
              </w:rPr>
              <w:t>80*</w:t>
            </w:r>
            <w:r>
              <w:rPr>
                <w:rFonts w:hint="eastAsia" w:ascii="宋体" w:hAnsi="宋体" w:cs="宋体"/>
                <w:sz w:val="24"/>
              </w:rPr>
              <w:t>8</w:t>
            </w:r>
            <w:r>
              <w:rPr>
                <w:rFonts w:hint="eastAsia" w:ascii="宋体" w:hAnsi="宋体" w:cs="宋体"/>
                <w:sz w:val="24"/>
                <w:lang w:val="zh-CN"/>
              </w:rPr>
              <w:t>00；运存不低于4G；存储不低于8G。具备RJ45、RS232、韦根、继电器输出、门磁、报警、开关、复位等端口；具备健康码阅读及解码硬件模块；</w:t>
            </w:r>
            <w:r>
              <w:rPr>
                <w:rFonts w:hint="eastAsia" w:ascii="宋体" w:hAnsi="宋体" w:cs="宋体"/>
                <w:sz w:val="24"/>
              </w:rPr>
              <w:t>支持</w:t>
            </w:r>
            <w:r>
              <w:rPr>
                <w:rFonts w:hint="eastAsia" w:ascii="宋体" w:hAnsi="宋体" w:cs="宋体"/>
                <w:sz w:val="24"/>
                <w:lang w:val="zh-CN"/>
              </w:rPr>
              <w:t>居民身份证阅读机具</w:t>
            </w:r>
            <w:r>
              <w:rPr>
                <w:rFonts w:hint="eastAsia" w:ascii="宋体" w:hAnsi="宋体" w:cs="宋体"/>
                <w:sz w:val="24"/>
              </w:rPr>
              <w:t>的接入</w:t>
            </w:r>
            <w:r>
              <w:rPr>
                <w:rFonts w:hint="eastAsia" w:ascii="宋体" w:hAnsi="宋体" w:cs="宋体"/>
                <w:sz w:val="24"/>
                <w:lang w:val="zh-CN"/>
              </w:rPr>
              <w:t>；内嵌远距离测温传感装置。</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③　二维码阅读模块：支持读取四川省天府健康码验证该健康码状态（绿码、黄码、红码）。</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④　居民身份证阅读机具：支持通过身份证查询个人四川省天府健康码状态（绿码、黄码、红码）。</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⑤　具备对白名单人员采用人脸识别查询健康码状态（绿码、黄码、红码）功能；人脸识别准确率不低于99.96%。</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⑥　人脸测温：具有远距离测温功能，测温方式：额温测量；测温范围：20℃~42℃；测温精度：0.1℃；测温误差：±0.3℃；支持人体温度检测、温度显示功能，体温异常预警提示。测温距离：70cm。支持算法级有效测温区域划分，可有效区分非额头温度与额头温度，规避头发、耳饰、身体其他区位等非有效测温区域出现高温误报。</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highlight w:val="yellow"/>
                <w:lang w:val="zh-CN"/>
              </w:rPr>
            </w:pPr>
            <w:r>
              <w:rPr>
                <w:rFonts w:hint="eastAsia" w:ascii="宋体" w:hAnsi="宋体" w:cs="宋体"/>
                <w:sz w:val="24"/>
                <w:lang w:val="zh-CN"/>
              </w:rPr>
              <w:t>⑦　▲人脸测温主机雨雾天气下的识别：为了确保下雨天气或湿度较大气温降低出现凝露状况下设备可正常进行人脸识别及测温。（提供具备有水环境下对人脸图像畸变进行矫正并进行有效人脸识别的相关技术的自主知识产权证明文件复印件，并加盖设备厂家公章）</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⑧　▲为确保远距离测温准确度，防止测温误差，供应商应具备远距离测温误差准确矫正的技术能力。（提供具有该技术的自主知识产权证明文件复印件，并加盖厂家公章）</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⑨　人脸识别算法：为了提高人脸识别口罩检测及人脸测温通行效率，并有效防止假性脸绕过人脸测温检测，系统支持自然步态行走状态下的人脸防假识别，并采用3D三维人脸识别技术。（提供具备自然步态的3D（三维）人脸防假识别相关算法系统的自主知识产权证明文件复印件，并加盖设备厂家公章）</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⑩　▲为了确保设备可持续运行，设备出现故障能够进行智能分析，对于部分故障可进行自行修复，设备应具有故障自检诊断分析及修复功能。（提供具备该功能或技术的自主知识产权证明文件复印件，并加盖设备厂家公章）</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⑪　▲一体化健康码人脸测温验证一体化装置可根据系统的回馈信号，有效检测多人通行及尾随现象，可对通道进行防尾随报警。（提供具备该功能或技术的自主知识产权证明文件复印件，并加盖设备厂家公章）</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⑫　具有人机交互可视化界面，具备健康码核验过程提示，通行提示等功能。</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⑬　具有口罩检测功能，可识别通行人员是否佩戴口罩；人员未佩戴口罩时，系统进行语音提醒，系统支持对未佩戴口罩的人员进行限制通行。</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⑭　设备支持自动定时重启功能（提供设备功能截图）；</w:t>
            </w:r>
          </w:p>
          <w:p>
            <w:pPr>
              <w:pageBreakBefore w:val="0"/>
              <w:widowControl w:val="0"/>
              <w:kinsoku/>
              <w:wordWrap/>
              <w:overflowPunct/>
              <w:topLinePunct w:val="0"/>
              <w:autoSpaceDE w:val="0"/>
              <w:autoSpaceDN w:val="0"/>
              <w:bidi w:val="0"/>
              <w:adjustRightInd w:val="0"/>
              <w:snapToGrid/>
              <w:spacing w:line="460" w:lineRule="exact"/>
              <w:ind w:firstLine="480" w:firstLineChars="200"/>
              <w:jc w:val="left"/>
              <w:textAlignment w:val="auto"/>
              <w:rPr>
                <w:rFonts w:ascii="Times New Roman" w:hAnsi="Times New Roman" w:eastAsia="宋体" w:cs="Times New Roman"/>
                <w:kern w:val="0"/>
                <w:sz w:val="24"/>
                <w:szCs w:val="24"/>
              </w:rPr>
            </w:pPr>
            <w:r>
              <w:rPr>
                <w:rFonts w:hint="eastAsia" w:ascii="宋体" w:hAnsi="宋体" w:cs="宋体"/>
                <w:sz w:val="24"/>
                <w:lang w:val="zh-CN"/>
              </w:rPr>
              <w:t>⑮　通行效率：设备通行效率不低于30人/分钟。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195" w:type="dxa"/>
            <w:shd w:val="clear" w:color="auto" w:fill="FFFFFF" w:themeFill="background1"/>
            <w:noWrap/>
            <w:vAlign w:val="top"/>
          </w:tcPr>
          <w:p>
            <w:pPr>
              <w:spacing w:line="360" w:lineRule="auto"/>
              <w:jc w:val="lef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sym w:font="Wingdings" w:char="00A8"/>
            </w:r>
            <w:r>
              <w:rPr>
                <w:rFonts w:hint="eastAsia" w:ascii="Times New Roman" w:hAnsi="Times New Roman" w:eastAsia="宋体" w:cs="Times New Roman"/>
                <w:kern w:val="0"/>
                <w:sz w:val="24"/>
                <w:szCs w:val="24"/>
                <w:lang w:eastAsia="zh-CN"/>
              </w:rPr>
              <w:t>人行通道</w:t>
            </w:r>
            <w:r>
              <w:rPr>
                <w:rFonts w:hint="eastAsia" w:ascii="Times New Roman" w:hAnsi="Times New Roman" w:eastAsia="宋体" w:cs="Times New Roman"/>
                <w:kern w:val="0"/>
                <w:sz w:val="24"/>
                <w:szCs w:val="24"/>
              </w:rPr>
              <w:t>摆闸</w:t>
            </w:r>
          </w:p>
          <w:p>
            <w:pPr>
              <w:spacing w:line="360" w:lineRule="auto"/>
              <w:jc w:val="left"/>
              <w:rPr>
                <w:rFonts w:ascii="Times New Roman" w:hAnsi="Times New Roman" w:eastAsia="宋体" w:cs="Times New Roman"/>
                <w:kern w:val="0"/>
                <w:sz w:val="24"/>
                <w:szCs w:val="24"/>
              </w:rPr>
            </w:pPr>
          </w:p>
        </w:tc>
        <w:tc>
          <w:tcPr>
            <w:tcW w:w="1069" w:type="dxa"/>
            <w:shd w:val="clear" w:color="auto" w:fill="FFFFFF" w:themeFill="background1"/>
            <w:noWrap/>
            <w:vAlign w:val="top"/>
          </w:tcPr>
          <w:p>
            <w:pPr>
              <w:spacing w:line="360" w:lineRule="auto"/>
              <w:jc w:val="left"/>
              <w:rPr>
                <w:rFonts w:hint="eastAsia" w:ascii="Times New Roman" w:hAnsi="Times New Roman" w:eastAsia="宋体" w:cs="Times New Roman"/>
                <w:kern w:val="0"/>
                <w:sz w:val="24"/>
                <w:szCs w:val="24"/>
              </w:rPr>
            </w:pPr>
            <w:r>
              <w:rPr>
                <w:rFonts w:hint="eastAsia" w:ascii="Times New Roman" w:hAnsi="Times New Roman" w:eastAsia="宋体" w:cs="Times New Roman"/>
                <w:kern w:val="0"/>
                <w:sz w:val="24"/>
                <w:szCs w:val="24"/>
              </w:rPr>
              <w:t>单机芯</w:t>
            </w:r>
          </w:p>
        </w:tc>
        <w:tc>
          <w:tcPr>
            <w:tcW w:w="6808" w:type="dxa"/>
            <w:shd w:val="clear" w:color="auto" w:fill="FFFFFF" w:themeFill="background1"/>
            <w:noWrap/>
            <w:vAlign w:val="top"/>
          </w:tcPr>
          <w:p>
            <w:pPr>
              <w:pStyle w:val="9"/>
              <w:pageBreakBefore w:val="0"/>
              <w:widowControl w:val="0"/>
              <w:numPr>
                <w:ilvl w:val="0"/>
                <w:numId w:val="1"/>
              </w:numPr>
              <w:kinsoku/>
              <w:wordWrap/>
              <w:overflowPunct/>
              <w:topLinePunct w:val="0"/>
              <w:autoSpaceDE w:val="0"/>
              <w:autoSpaceDN w:val="0"/>
              <w:bidi w:val="0"/>
              <w:adjustRightInd w:val="0"/>
              <w:snapToGrid/>
              <w:spacing w:line="400" w:lineRule="exact"/>
              <w:ind w:firstLineChars="0"/>
              <w:jc w:val="left"/>
              <w:textAlignment w:val="auto"/>
              <w:rPr>
                <w:rFonts w:ascii="宋体" w:hAnsi="宋体" w:cs="宋体"/>
                <w:sz w:val="24"/>
                <w:lang w:val="zh-CN"/>
              </w:rPr>
            </w:pPr>
            <w:r>
              <w:rPr>
                <w:rFonts w:hint="eastAsia" w:ascii="宋体" w:hAnsi="宋体" w:cs="宋体"/>
                <w:sz w:val="24"/>
                <w:lang w:val="zh-CN"/>
              </w:rPr>
              <w:t>　通道采用304不锈钢材质，机箱厚度上盖满足或优于国标1.2mm厚度，</w:t>
            </w:r>
          </w:p>
          <w:p>
            <w:pPr>
              <w:pageBreakBefore w:val="0"/>
              <w:widowControl w:val="0"/>
              <w:kinsoku/>
              <w:wordWrap/>
              <w:overflowPunct/>
              <w:topLinePunct w:val="0"/>
              <w:autoSpaceDE w:val="0"/>
              <w:autoSpaceDN w:val="0"/>
              <w:bidi w:val="0"/>
              <w:adjustRightInd w:val="0"/>
              <w:spacing w:line="460" w:lineRule="exact"/>
              <w:jc w:val="left"/>
              <w:textAlignment w:val="auto"/>
              <w:rPr>
                <w:rFonts w:ascii="宋体" w:hAnsi="宋体" w:cs="宋体"/>
                <w:sz w:val="24"/>
                <w:lang w:val="zh-CN"/>
              </w:rPr>
            </w:pPr>
            <w:r>
              <w:rPr>
                <w:rFonts w:hint="eastAsia" w:ascii="宋体" w:hAnsi="宋体" w:cs="宋体"/>
                <w:sz w:val="24"/>
                <w:lang w:val="zh-CN"/>
              </w:rPr>
              <w:t>侧面满足国标1.0mm厚度。机箱尺寸：</w:t>
            </w:r>
            <w:r>
              <w:rPr>
                <w:rFonts w:hint="eastAsia" w:ascii="宋体" w:hAnsi="宋体" w:cs="宋体"/>
                <w:sz w:val="24"/>
                <w:lang w:val="en-US" w:eastAsia="zh-CN"/>
              </w:rPr>
              <w:t>1400mm</w:t>
            </w:r>
            <w:r>
              <w:rPr>
                <w:rFonts w:hint="eastAsia" w:ascii="宋体" w:hAnsi="宋体" w:cs="宋体"/>
                <w:sz w:val="24"/>
                <w:lang w:val="zh-CN"/>
              </w:rPr>
              <w:t>（</w:t>
            </w:r>
            <w:r>
              <w:rPr>
                <w:rFonts w:hint="eastAsia" w:ascii="宋体" w:hAnsi="宋体" w:cs="宋体"/>
                <w:sz w:val="24"/>
              </w:rPr>
              <w:t>长</w:t>
            </w:r>
            <w:r>
              <w:rPr>
                <w:rFonts w:hint="eastAsia" w:ascii="宋体" w:hAnsi="宋体" w:cs="宋体"/>
                <w:sz w:val="24"/>
                <w:lang w:val="zh-CN"/>
              </w:rPr>
              <w:t>）  * 200mm（</w:t>
            </w:r>
            <w:r>
              <w:rPr>
                <w:rFonts w:hint="eastAsia" w:ascii="宋体" w:hAnsi="宋体" w:cs="宋体"/>
                <w:sz w:val="24"/>
              </w:rPr>
              <w:t>宽</w:t>
            </w:r>
            <w:r>
              <w:rPr>
                <w:rFonts w:hint="eastAsia" w:ascii="宋体" w:hAnsi="宋体" w:cs="宋体"/>
                <w:sz w:val="24"/>
                <w:lang w:val="zh-CN"/>
              </w:rPr>
              <w:t>） * 1000mm（</w:t>
            </w:r>
            <w:r>
              <w:rPr>
                <w:rFonts w:hint="eastAsia" w:ascii="宋体" w:hAnsi="宋体" w:cs="宋体"/>
                <w:sz w:val="24"/>
              </w:rPr>
              <w:t>高</w:t>
            </w:r>
            <w:r>
              <w:rPr>
                <w:rFonts w:hint="eastAsia" w:ascii="宋体" w:hAnsi="宋体" w:cs="宋体"/>
                <w:sz w:val="24"/>
                <w:lang w:val="zh-CN"/>
              </w:rPr>
              <w:t>）（尺寸准许有±10%差别），通道宽度</w:t>
            </w:r>
            <w:r>
              <w:rPr>
                <w:rFonts w:hint="eastAsia" w:ascii="宋体" w:hAnsi="宋体" w:cs="宋体"/>
                <w:sz w:val="24"/>
              </w:rPr>
              <w:t>80</w:t>
            </w:r>
            <w:r>
              <w:rPr>
                <w:rFonts w:hint="eastAsia" w:ascii="宋体" w:hAnsi="宋体" w:cs="宋体"/>
                <w:sz w:val="24"/>
                <w:lang w:val="zh-CN"/>
              </w:rPr>
              <w:t>0mm~1200mm，可定制，以实际场地为准。</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hint="eastAsia" w:ascii="宋体" w:hAnsi="宋体" w:eastAsia="宋体" w:cs="宋体"/>
                <w:sz w:val="24"/>
                <w:lang w:val="zh-CN" w:eastAsia="zh-CN"/>
              </w:rPr>
            </w:pPr>
            <w:r>
              <w:rPr>
                <w:rFonts w:hint="eastAsia" w:ascii="宋体" w:hAnsi="宋体" w:cs="宋体"/>
                <w:sz w:val="24"/>
                <w:lang w:val="zh-CN"/>
              </w:rPr>
              <w:t>②　采用无刷直流电机，具备防撞电路保护，机芯功率： ≤100W；无障碍运行时间：</w:t>
            </w:r>
            <w:r>
              <w:rPr>
                <w:rFonts w:hint="eastAsia" w:ascii="宋体" w:hAnsi="宋体" w:cs="宋体"/>
                <w:sz w:val="24"/>
              </w:rPr>
              <w:t>不低于</w:t>
            </w:r>
            <w:r>
              <w:rPr>
                <w:rFonts w:hint="eastAsia" w:ascii="宋体" w:hAnsi="宋体" w:cs="宋体"/>
                <w:sz w:val="24"/>
                <w:lang w:val="en-US" w:eastAsia="zh-CN"/>
              </w:rPr>
              <w:t>5</w:t>
            </w:r>
            <w:r>
              <w:rPr>
                <w:rFonts w:hint="eastAsia" w:ascii="宋体" w:hAnsi="宋体" w:cs="宋体"/>
                <w:sz w:val="24"/>
                <w:lang w:val="zh-CN"/>
              </w:rPr>
              <w:t>00万次。</w:t>
            </w:r>
            <w:r>
              <w:rPr>
                <w:rFonts w:hint="eastAsia" w:ascii="Times New Roman" w:hAnsi="Times New Roman" w:eastAsia="宋体" w:cs="Times New Roman"/>
                <w:kern w:val="0"/>
                <w:sz w:val="24"/>
                <w:szCs w:val="24"/>
              </w:rPr>
              <w:t>最快开关闸周期：40回合/分；故障自动复位时间：10S</w:t>
            </w:r>
            <w:r>
              <w:rPr>
                <w:rFonts w:hint="eastAsia" w:ascii="Times New Roman" w:hAnsi="Times New Roman" w:cs="Times New Roman"/>
                <w:kern w:val="0"/>
                <w:sz w:val="24"/>
                <w:szCs w:val="24"/>
                <w:lang w:eastAsia="zh-CN"/>
              </w:rPr>
              <w:t>。</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③　不少于</w:t>
            </w:r>
            <w:r>
              <w:rPr>
                <w:rFonts w:hint="eastAsia" w:ascii="宋体" w:hAnsi="宋体" w:cs="宋体"/>
                <w:sz w:val="24"/>
                <w:lang w:val="en-US" w:eastAsia="zh-CN"/>
              </w:rPr>
              <w:t>6</w:t>
            </w:r>
            <w:r>
              <w:rPr>
                <w:rFonts w:hint="eastAsia" w:ascii="宋体" w:hAnsi="宋体" w:cs="宋体"/>
                <w:sz w:val="24"/>
                <w:lang w:val="zh-CN"/>
              </w:rPr>
              <w:t>路红外光防尾随电输入；输出控制信号：全为继电器信号输出；无效信号红灯输出；报警喇叭信号输出；开、关时间：不长于0.7秒；故障自动复位时间：不长于10S；机芯工作电压： DC24V。</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④　▲适应温度：-30度～70度；相对湿度：相对湿度≤95%。采用嵌入式温度湿度检测及调节技术，具备恒温防冻调节功能，不凝露。（提供具备该嵌入式温度湿度检测及调节技术的自主知识产权证明文件复印件，并加盖设备厂家公章）</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⑤　应急设置：具备设备常开常闭设置功能，满足应急情况下的开关功能。</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⑥　防夹功能：为了确保就医者的安全通行，人行通道应具备防夹功能，能够对潜在存在的卡夹现象进行感知并响应，</w:t>
            </w:r>
            <w:r>
              <w:rPr>
                <w:rFonts w:hint="eastAsia" w:ascii="Times New Roman" w:hAnsi="Times New Roman" w:eastAsia="宋体" w:cs="Times New Roman"/>
                <w:kern w:val="0"/>
                <w:sz w:val="24"/>
                <w:szCs w:val="24"/>
              </w:rPr>
              <w:t>配备2相防夹感知响应功能</w:t>
            </w:r>
            <w:r>
              <w:rPr>
                <w:rFonts w:hint="eastAsia" w:ascii="宋体" w:hAnsi="宋体" w:cs="宋体"/>
                <w:sz w:val="24"/>
                <w:lang w:val="zh-CN"/>
              </w:rPr>
              <w:t>。（提供具备该防夹感知及响应控制功能的自主知识产权证明文件复印件，并加盖设备厂家公章）</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⑦　▲为确保通道进行精准开合，降低卡夹所带来的损害，系统可根据运行状况进行电机进行独立控制。（提供具备该电机进行独立控制的自主知识产权证明文件复印件，并加盖设备厂家公章）</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⑧　▲为了避免出现故障造成严重就诊患者拥堵情况，可通过系统重启进行故障自检诊断分析并对可修复故障进行自动修复，使系统快速恢复正常运行状态。（提供具备该故障自检诊断分析及故障修复功能的自主知识产权证明文件复印件，并加盖设备厂家公章）</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hint="eastAsia" w:ascii="Times New Roman" w:hAnsi="Times New Roman" w:eastAsia="宋体" w:cs="Times New Roman"/>
                <w:kern w:val="0"/>
                <w:sz w:val="24"/>
                <w:szCs w:val="24"/>
              </w:rPr>
            </w:pPr>
            <w:r>
              <w:rPr>
                <w:rFonts w:hint="eastAsia" w:ascii="宋体" w:hAnsi="宋体" w:cs="宋体"/>
                <w:sz w:val="24"/>
                <w:lang w:val="zh-CN"/>
              </w:rPr>
              <w:t>⑨　单通道具有一套电机动力系统、传动装置及门翼；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1195" w:type="dxa"/>
            <w:shd w:val="clear" w:color="auto" w:fill="FFFFFF" w:themeFill="background1"/>
            <w:noWrap/>
          </w:tcPr>
          <w:p>
            <w:pPr>
              <w:spacing w:line="360" w:lineRule="auto"/>
              <w:jc w:val="lef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sym w:font="Wingdings" w:char="00A8"/>
            </w:r>
            <w:r>
              <w:rPr>
                <w:rFonts w:hint="eastAsia" w:ascii="Times New Roman" w:hAnsi="Times New Roman" w:eastAsia="宋体" w:cs="Times New Roman"/>
                <w:kern w:val="0"/>
                <w:sz w:val="24"/>
                <w:szCs w:val="24"/>
              </w:rPr>
              <w:t>速通门</w:t>
            </w:r>
          </w:p>
          <w:p>
            <w:pPr>
              <w:spacing w:line="360" w:lineRule="auto"/>
              <w:jc w:val="left"/>
              <w:rPr>
                <w:rFonts w:ascii="Times New Roman" w:hAnsi="Times New Roman" w:eastAsia="宋体" w:cs="Times New Roman"/>
                <w:kern w:val="0"/>
                <w:sz w:val="24"/>
                <w:szCs w:val="24"/>
              </w:rPr>
            </w:pPr>
          </w:p>
        </w:tc>
        <w:tc>
          <w:tcPr>
            <w:tcW w:w="1069" w:type="dxa"/>
            <w:shd w:val="clear" w:color="auto" w:fill="FFFFFF" w:themeFill="background1"/>
            <w:noWrap/>
          </w:tcPr>
          <w:p>
            <w:pPr>
              <w:spacing w:line="360" w:lineRule="auto"/>
              <w:jc w:val="lef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单机芯</w:t>
            </w:r>
          </w:p>
        </w:tc>
        <w:tc>
          <w:tcPr>
            <w:tcW w:w="6808" w:type="dxa"/>
            <w:shd w:val="clear" w:color="auto" w:fill="FFFFFF" w:themeFill="background1"/>
            <w:noWrap/>
          </w:tcPr>
          <w:p>
            <w:pPr>
              <w:pStyle w:val="9"/>
              <w:pageBreakBefore w:val="0"/>
              <w:widowControl w:val="0"/>
              <w:numPr>
                <w:ilvl w:val="0"/>
                <w:numId w:val="2"/>
              </w:numPr>
              <w:kinsoku/>
              <w:wordWrap/>
              <w:overflowPunct/>
              <w:topLinePunct w:val="0"/>
              <w:autoSpaceDE w:val="0"/>
              <w:autoSpaceDN w:val="0"/>
              <w:bidi w:val="0"/>
              <w:adjustRightInd w:val="0"/>
              <w:snapToGrid/>
              <w:spacing w:line="400" w:lineRule="exact"/>
              <w:ind w:firstLineChars="0"/>
              <w:jc w:val="left"/>
              <w:textAlignment w:val="auto"/>
              <w:rPr>
                <w:rFonts w:ascii="宋体" w:hAnsi="宋体" w:cs="宋体"/>
                <w:sz w:val="24"/>
                <w:lang w:val="zh-CN"/>
              </w:rPr>
            </w:pPr>
            <w:r>
              <w:rPr>
                <w:rFonts w:hint="eastAsia" w:ascii="宋体" w:hAnsi="宋体" w:cs="宋体"/>
                <w:sz w:val="24"/>
                <w:lang w:val="zh-CN"/>
              </w:rPr>
              <w:t>　通道采用304不锈钢材质，机箱厚度上盖满足或优于国标1.2mm厚度，</w:t>
            </w:r>
          </w:p>
          <w:p>
            <w:pPr>
              <w:pageBreakBefore w:val="0"/>
              <w:widowControl w:val="0"/>
              <w:kinsoku/>
              <w:wordWrap/>
              <w:overflowPunct/>
              <w:topLinePunct w:val="0"/>
              <w:autoSpaceDE w:val="0"/>
              <w:autoSpaceDN w:val="0"/>
              <w:bidi w:val="0"/>
              <w:adjustRightInd w:val="0"/>
              <w:spacing w:line="460" w:lineRule="exact"/>
              <w:jc w:val="left"/>
              <w:textAlignment w:val="auto"/>
              <w:rPr>
                <w:rFonts w:ascii="宋体" w:hAnsi="宋体" w:cs="宋体"/>
                <w:sz w:val="24"/>
                <w:lang w:val="zh-CN"/>
              </w:rPr>
            </w:pPr>
            <w:r>
              <w:rPr>
                <w:rFonts w:hint="eastAsia" w:ascii="宋体" w:hAnsi="宋体" w:cs="宋体"/>
                <w:sz w:val="24"/>
                <w:lang w:val="zh-CN"/>
              </w:rPr>
              <w:t>侧面满足国标1.0mm厚度。机箱尺寸：</w:t>
            </w:r>
            <w:r>
              <w:rPr>
                <w:rFonts w:hint="eastAsia" w:ascii="宋体" w:hAnsi="宋体" w:cs="宋体"/>
                <w:sz w:val="24"/>
                <w:lang w:val="en-US" w:eastAsia="zh-CN"/>
              </w:rPr>
              <w:t>1400mm</w:t>
            </w:r>
            <w:r>
              <w:rPr>
                <w:rFonts w:hint="eastAsia" w:ascii="宋体" w:hAnsi="宋体" w:cs="宋体"/>
                <w:sz w:val="24"/>
                <w:lang w:val="zh-CN"/>
              </w:rPr>
              <w:t>（</w:t>
            </w:r>
            <w:r>
              <w:rPr>
                <w:rFonts w:hint="eastAsia" w:ascii="宋体" w:hAnsi="宋体" w:cs="宋体"/>
                <w:sz w:val="24"/>
              </w:rPr>
              <w:t>长</w:t>
            </w:r>
            <w:r>
              <w:rPr>
                <w:rFonts w:hint="eastAsia" w:ascii="宋体" w:hAnsi="宋体" w:cs="宋体"/>
                <w:sz w:val="24"/>
                <w:lang w:val="zh-CN"/>
              </w:rPr>
              <w:t>）  * 200mm（</w:t>
            </w:r>
            <w:r>
              <w:rPr>
                <w:rFonts w:hint="eastAsia" w:ascii="宋体" w:hAnsi="宋体" w:cs="宋体"/>
                <w:sz w:val="24"/>
              </w:rPr>
              <w:t>宽</w:t>
            </w:r>
            <w:r>
              <w:rPr>
                <w:rFonts w:hint="eastAsia" w:ascii="宋体" w:hAnsi="宋体" w:cs="宋体"/>
                <w:sz w:val="24"/>
                <w:lang w:val="zh-CN"/>
              </w:rPr>
              <w:t>） * 1000mm（</w:t>
            </w:r>
            <w:r>
              <w:rPr>
                <w:rFonts w:hint="eastAsia" w:ascii="宋体" w:hAnsi="宋体" w:cs="宋体"/>
                <w:sz w:val="24"/>
              </w:rPr>
              <w:t>高</w:t>
            </w:r>
            <w:r>
              <w:rPr>
                <w:rFonts w:hint="eastAsia" w:ascii="宋体" w:hAnsi="宋体" w:cs="宋体"/>
                <w:sz w:val="24"/>
                <w:lang w:val="zh-CN"/>
              </w:rPr>
              <w:t>）（尺寸准许有±10%差别），通道宽度</w:t>
            </w:r>
            <w:r>
              <w:rPr>
                <w:rFonts w:hint="eastAsia" w:ascii="宋体" w:hAnsi="宋体" w:cs="宋体"/>
                <w:sz w:val="24"/>
              </w:rPr>
              <w:t>80</w:t>
            </w:r>
            <w:r>
              <w:rPr>
                <w:rFonts w:hint="eastAsia" w:ascii="宋体" w:hAnsi="宋体" w:cs="宋体"/>
                <w:sz w:val="24"/>
                <w:lang w:val="zh-CN"/>
              </w:rPr>
              <w:t>0mm~1200mm，可定制，以实际场地为准。</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hint="eastAsia" w:ascii="宋体" w:hAnsi="宋体" w:eastAsia="宋体" w:cs="宋体"/>
                <w:sz w:val="24"/>
                <w:lang w:val="zh-CN" w:eastAsia="zh-CN"/>
              </w:rPr>
            </w:pPr>
            <w:r>
              <w:rPr>
                <w:rFonts w:hint="eastAsia" w:ascii="宋体" w:hAnsi="宋体" w:cs="宋体"/>
                <w:sz w:val="24"/>
                <w:lang w:val="zh-CN"/>
              </w:rPr>
              <w:t>②　采用无刷直流电机，具备防撞电路保护，机芯功率： ≤100W；无障碍运行时间：</w:t>
            </w:r>
            <w:r>
              <w:rPr>
                <w:rFonts w:hint="eastAsia" w:ascii="宋体" w:hAnsi="宋体" w:cs="宋体"/>
                <w:sz w:val="24"/>
              </w:rPr>
              <w:t>不低于</w:t>
            </w:r>
            <w:r>
              <w:rPr>
                <w:rFonts w:hint="eastAsia" w:ascii="宋体" w:hAnsi="宋体" w:cs="宋体"/>
                <w:sz w:val="24"/>
                <w:lang w:val="en-US" w:eastAsia="zh-CN"/>
              </w:rPr>
              <w:t>10</w:t>
            </w:r>
            <w:r>
              <w:rPr>
                <w:rFonts w:hint="eastAsia" w:ascii="宋体" w:hAnsi="宋体" w:cs="宋体"/>
                <w:sz w:val="24"/>
                <w:lang w:val="zh-CN"/>
              </w:rPr>
              <w:t>00万次。</w:t>
            </w:r>
            <w:r>
              <w:rPr>
                <w:rFonts w:hint="eastAsia" w:ascii="Times New Roman" w:hAnsi="Times New Roman" w:eastAsia="宋体" w:cs="Times New Roman"/>
                <w:kern w:val="0"/>
                <w:sz w:val="24"/>
                <w:szCs w:val="24"/>
              </w:rPr>
              <w:t>最快开关闸周期：67回合/分；故障自动复位时间：</w:t>
            </w:r>
            <w:r>
              <w:rPr>
                <w:rFonts w:hint="eastAsia" w:ascii="Times New Roman" w:hAnsi="Times New Roman" w:cs="Times New Roman"/>
                <w:kern w:val="0"/>
                <w:sz w:val="24"/>
                <w:szCs w:val="24"/>
                <w:lang w:val="en-US" w:eastAsia="zh-CN"/>
              </w:rPr>
              <w:t>8</w:t>
            </w:r>
            <w:r>
              <w:rPr>
                <w:rFonts w:hint="eastAsia" w:ascii="Times New Roman" w:hAnsi="Times New Roman" w:eastAsia="宋体" w:cs="Times New Roman"/>
                <w:kern w:val="0"/>
                <w:sz w:val="24"/>
                <w:szCs w:val="24"/>
              </w:rPr>
              <w:t>S</w:t>
            </w:r>
            <w:r>
              <w:rPr>
                <w:rFonts w:hint="eastAsia" w:ascii="Times New Roman" w:hAnsi="Times New Roman" w:cs="Times New Roman"/>
                <w:kern w:val="0"/>
                <w:sz w:val="24"/>
                <w:szCs w:val="24"/>
                <w:lang w:eastAsia="zh-CN"/>
              </w:rPr>
              <w:t>。</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③　不少于</w:t>
            </w:r>
            <w:r>
              <w:rPr>
                <w:rFonts w:hint="eastAsia" w:ascii="宋体" w:hAnsi="宋体" w:cs="宋体"/>
                <w:sz w:val="24"/>
                <w:lang w:val="en-US" w:eastAsia="zh-CN"/>
              </w:rPr>
              <w:t>8</w:t>
            </w:r>
            <w:r>
              <w:rPr>
                <w:rFonts w:hint="eastAsia" w:ascii="宋体" w:hAnsi="宋体" w:cs="宋体"/>
                <w:sz w:val="24"/>
                <w:lang w:val="zh-CN"/>
              </w:rPr>
              <w:t>路红外光防尾随电输入；输出控制信号：全为继电器信号输出；无效信号红灯输出；报警喇叭信号输出；开、关时间：不长于0.7秒；故障自动复位时间：不长于10S；机芯工作电压： DC24V。</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④　▲适应温度：-30度～70度；相对湿度：相对湿度≤95%。采用嵌入式温度湿度检测及调节技术，具备恒温防冻调节功能，不凝露。（提供具备该嵌入式温度湿度检测及调节技术的自主知识产权证明文件复印件，并加盖设备厂家公章）</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⑤　应急设置：具备设备常开常闭设置功能，满足应急情况下的开关功能。</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⑥　防夹功能：为了确保就医者的安全通行，人行通道应具备防夹功能，能够对潜在存在的卡夹现象进行感知并响应，</w:t>
            </w:r>
            <w:r>
              <w:rPr>
                <w:rFonts w:hint="eastAsia" w:ascii="Times New Roman" w:hAnsi="Times New Roman" w:eastAsia="宋体" w:cs="Times New Roman"/>
                <w:kern w:val="0"/>
                <w:sz w:val="24"/>
                <w:szCs w:val="24"/>
              </w:rPr>
              <w:t>配备3相（阻尼防夹、电感防夹、红外防夹）防夹感知响应功能</w:t>
            </w:r>
            <w:r>
              <w:rPr>
                <w:rFonts w:hint="eastAsia" w:ascii="Times New Roman" w:hAnsi="Times New Roman" w:cs="Times New Roman"/>
                <w:kern w:val="0"/>
                <w:sz w:val="24"/>
                <w:szCs w:val="24"/>
                <w:lang w:eastAsia="zh-CN"/>
              </w:rPr>
              <w:t>。</w:t>
            </w:r>
            <w:r>
              <w:rPr>
                <w:rFonts w:hint="eastAsia" w:ascii="宋体" w:hAnsi="宋体" w:cs="宋体"/>
                <w:sz w:val="24"/>
                <w:lang w:val="zh-CN"/>
              </w:rPr>
              <w:t>（提供具备该防夹感知及响应控制功能的自主知识产权证明文件复印件，并加盖设备厂家公章）</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⑦　▲为确保通道进行精准开合，降低卡夹所带来的损害，系统可根据运行状况进行电机进行独立控制。（提供具备该电机进行独立控制的自主知识产权证明文件复印件，并加盖设备厂家公章）</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⑧　▲为了避免出现故障造成严重就诊患者拥堵情况，可通过系统重启进行故障自检诊断分析并对可修复故障进行自动修复，使系统快速恢复正常运行状态。（提供具备该故障自检诊断分析及故障修复功能的自主知识产权证明文件复印件，并加盖设备厂家公章）</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hint="eastAsia" w:ascii="Times New Roman" w:hAnsi="Times New Roman" w:cs="Times New Roman" w:eastAsiaTheme="minorEastAsia"/>
                <w:kern w:val="0"/>
                <w:sz w:val="24"/>
                <w:szCs w:val="24"/>
                <w:lang w:val="en-US" w:eastAsia="zh-CN"/>
              </w:rPr>
            </w:pPr>
            <w:r>
              <w:rPr>
                <w:rFonts w:hint="eastAsia" w:ascii="宋体" w:hAnsi="宋体" w:cs="宋体"/>
                <w:sz w:val="24"/>
                <w:lang w:val="zh-CN"/>
              </w:rPr>
              <w:t>⑨　单通道具有一套电机动力系统、传动装置及门翼。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1195" w:type="dxa"/>
            <w:shd w:val="clear" w:color="auto" w:fill="FFFFFF" w:themeFill="background1"/>
            <w:noWrap/>
          </w:tcPr>
          <w:p>
            <w:pPr>
              <w:spacing w:line="360" w:lineRule="auto"/>
              <w:jc w:val="lef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sym w:font="Wingdings" w:char="00A8"/>
            </w:r>
            <w:r>
              <w:rPr>
                <w:rFonts w:hint="eastAsia" w:ascii="Times New Roman" w:hAnsi="Times New Roman" w:eastAsia="宋体" w:cs="Times New Roman"/>
                <w:kern w:val="0"/>
                <w:sz w:val="24"/>
                <w:szCs w:val="24"/>
              </w:rPr>
              <w:t>速通门</w:t>
            </w:r>
          </w:p>
          <w:p>
            <w:pPr>
              <w:spacing w:line="360" w:lineRule="auto"/>
              <w:jc w:val="left"/>
              <w:rPr>
                <w:rFonts w:ascii="Times New Roman" w:hAnsi="Times New Roman" w:eastAsia="宋体" w:cs="Times New Roman"/>
                <w:kern w:val="0"/>
                <w:sz w:val="24"/>
                <w:szCs w:val="24"/>
              </w:rPr>
            </w:pPr>
          </w:p>
        </w:tc>
        <w:tc>
          <w:tcPr>
            <w:tcW w:w="1069" w:type="dxa"/>
            <w:shd w:val="clear" w:color="auto" w:fill="FFFFFF" w:themeFill="background1"/>
            <w:noWrap/>
          </w:tcPr>
          <w:p>
            <w:pPr>
              <w:spacing w:line="360" w:lineRule="auto"/>
              <w:jc w:val="lef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双机芯</w:t>
            </w:r>
          </w:p>
        </w:tc>
        <w:tc>
          <w:tcPr>
            <w:tcW w:w="6808" w:type="dxa"/>
            <w:shd w:val="clear" w:color="auto" w:fill="FFFFFF" w:themeFill="background1"/>
            <w:noWrap/>
          </w:tcPr>
          <w:p>
            <w:pPr>
              <w:pStyle w:val="9"/>
              <w:pageBreakBefore w:val="0"/>
              <w:widowControl w:val="0"/>
              <w:numPr>
                <w:numId w:val="0"/>
              </w:numPr>
              <w:kinsoku/>
              <w:wordWrap/>
              <w:overflowPunct/>
              <w:topLinePunct w:val="0"/>
              <w:autoSpaceDE w:val="0"/>
              <w:autoSpaceDN w:val="0"/>
              <w:bidi w:val="0"/>
              <w:adjustRightInd w:val="0"/>
              <w:snapToGrid/>
              <w:spacing w:line="400" w:lineRule="exact"/>
              <w:ind w:left="480" w:leftChars="0"/>
              <w:jc w:val="left"/>
              <w:textAlignment w:val="auto"/>
              <w:rPr>
                <w:rFonts w:ascii="宋体" w:hAnsi="宋体" w:cs="宋体"/>
                <w:sz w:val="24"/>
                <w:lang w:val="zh-CN"/>
              </w:rPr>
            </w:pPr>
            <w:r>
              <w:rPr>
                <w:rFonts w:hint="eastAsia" w:ascii="Times New Roman" w:hAnsi="Times New Roman" w:eastAsia="宋体" w:cs="Times New Roman"/>
                <w:kern w:val="0"/>
                <w:sz w:val="24"/>
                <w:szCs w:val="24"/>
              </w:rPr>
              <w:t>①　</w:t>
            </w:r>
            <w:r>
              <w:rPr>
                <w:rFonts w:hint="eastAsia" w:ascii="宋体" w:hAnsi="宋体" w:cs="宋体"/>
                <w:sz w:val="24"/>
                <w:lang w:val="zh-CN"/>
              </w:rPr>
              <w:t>　通道采用304不锈钢材质，机箱厚度上盖满足或优于国标1.2mm厚度，</w:t>
            </w:r>
          </w:p>
          <w:p>
            <w:pPr>
              <w:pageBreakBefore w:val="0"/>
              <w:widowControl w:val="0"/>
              <w:kinsoku/>
              <w:wordWrap/>
              <w:overflowPunct/>
              <w:topLinePunct w:val="0"/>
              <w:autoSpaceDE w:val="0"/>
              <w:autoSpaceDN w:val="0"/>
              <w:bidi w:val="0"/>
              <w:adjustRightInd w:val="0"/>
              <w:spacing w:line="460" w:lineRule="exact"/>
              <w:jc w:val="left"/>
              <w:textAlignment w:val="auto"/>
              <w:rPr>
                <w:rFonts w:ascii="宋体" w:hAnsi="宋体" w:cs="宋体"/>
                <w:sz w:val="24"/>
                <w:lang w:val="zh-CN"/>
              </w:rPr>
            </w:pPr>
            <w:r>
              <w:rPr>
                <w:rFonts w:hint="eastAsia" w:ascii="宋体" w:hAnsi="宋体" w:cs="宋体"/>
                <w:sz w:val="24"/>
                <w:lang w:val="zh-CN"/>
              </w:rPr>
              <w:t>侧面满足国标1.0mm厚度。机箱尺寸：</w:t>
            </w:r>
            <w:r>
              <w:rPr>
                <w:rFonts w:hint="eastAsia" w:ascii="宋体" w:hAnsi="宋体" w:cs="宋体"/>
                <w:sz w:val="24"/>
                <w:lang w:val="en-US" w:eastAsia="zh-CN"/>
              </w:rPr>
              <w:t>1400mm</w:t>
            </w:r>
            <w:r>
              <w:rPr>
                <w:rFonts w:hint="eastAsia" w:ascii="宋体" w:hAnsi="宋体" w:cs="宋体"/>
                <w:sz w:val="24"/>
                <w:lang w:val="zh-CN"/>
              </w:rPr>
              <w:t>（</w:t>
            </w:r>
            <w:r>
              <w:rPr>
                <w:rFonts w:hint="eastAsia" w:ascii="宋体" w:hAnsi="宋体" w:cs="宋体"/>
                <w:sz w:val="24"/>
              </w:rPr>
              <w:t>长</w:t>
            </w:r>
            <w:r>
              <w:rPr>
                <w:rFonts w:hint="eastAsia" w:ascii="宋体" w:hAnsi="宋体" w:cs="宋体"/>
                <w:sz w:val="24"/>
                <w:lang w:val="zh-CN"/>
              </w:rPr>
              <w:t>）  * 200mm（</w:t>
            </w:r>
            <w:r>
              <w:rPr>
                <w:rFonts w:hint="eastAsia" w:ascii="宋体" w:hAnsi="宋体" w:cs="宋体"/>
                <w:sz w:val="24"/>
              </w:rPr>
              <w:t>宽</w:t>
            </w:r>
            <w:r>
              <w:rPr>
                <w:rFonts w:hint="eastAsia" w:ascii="宋体" w:hAnsi="宋体" w:cs="宋体"/>
                <w:sz w:val="24"/>
                <w:lang w:val="zh-CN"/>
              </w:rPr>
              <w:t>） * 1000mm（</w:t>
            </w:r>
            <w:r>
              <w:rPr>
                <w:rFonts w:hint="eastAsia" w:ascii="宋体" w:hAnsi="宋体" w:cs="宋体"/>
                <w:sz w:val="24"/>
              </w:rPr>
              <w:t>高</w:t>
            </w:r>
            <w:r>
              <w:rPr>
                <w:rFonts w:hint="eastAsia" w:ascii="宋体" w:hAnsi="宋体" w:cs="宋体"/>
                <w:sz w:val="24"/>
                <w:lang w:val="zh-CN"/>
              </w:rPr>
              <w:t>）（尺寸准许有±10%差别），通道宽度</w:t>
            </w:r>
            <w:r>
              <w:rPr>
                <w:rFonts w:hint="eastAsia" w:ascii="宋体" w:hAnsi="宋体" w:cs="宋体"/>
                <w:sz w:val="24"/>
              </w:rPr>
              <w:t>80</w:t>
            </w:r>
            <w:r>
              <w:rPr>
                <w:rFonts w:hint="eastAsia" w:ascii="宋体" w:hAnsi="宋体" w:cs="宋体"/>
                <w:sz w:val="24"/>
                <w:lang w:val="zh-CN"/>
              </w:rPr>
              <w:t>0mm~1200mm，可定制，以实际场地为准。</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hint="eastAsia" w:ascii="宋体" w:hAnsi="宋体" w:eastAsia="宋体" w:cs="宋体"/>
                <w:sz w:val="24"/>
                <w:lang w:val="zh-CN" w:eastAsia="zh-CN"/>
              </w:rPr>
            </w:pPr>
            <w:r>
              <w:rPr>
                <w:rFonts w:hint="eastAsia" w:ascii="宋体" w:hAnsi="宋体" w:cs="宋体"/>
                <w:sz w:val="24"/>
                <w:lang w:val="zh-CN"/>
              </w:rPr>
              <w:t>②　采用无刷直流电机，具备防撞电路保护，机芯功率： ≤100W；无障碍运行时间：</w:t>
            </w:r>
            <w:r>
              <w:rPr>
                <w:rFonts w:hint="eastAsia" w:ascii="宋体" w:hAnsi="宋体" w:cs="宋体"/>
                <w:sz w:val="24"/>
              </w:rPr>
              <w:t>不低于</w:t>
            </w:r>
            <w:r>
              <w:rPr>
                <w:rFonts w:hint="eastAsia" w:ascii="宋体" w:hAnsi="宋体" w:cs="宋体"/>
                <w:sz w:val="24"/>
                <w:lang w:val="en-US" w:eastAsia="zh-CN"/>
              </w:rPr>
              <w:t>10</w:t>
            </w:r>
            <w:r>
              <w:rPr>
                <w:rFonts w:hint="eastAsia" w:ascii="宋体" w:hAnsi="宋体" w:cs="宋体"/>
                <w:sz w:val="24"/>
                <w:lang w:val="zh-CN"/>
              </w:rPr>
              <w:t>00万次。</w:t>
            </w:r>
            <w:r>
              <w:rPr>
                <w:rFonts w:hint="eastAsia" w:ascii="Times New Roman" w:hAnsi="Times New Roman" w:eastAsia="宋体" w:cs="Times New Roman"/>
                <w:kern w:val="0"/>
                <w:sz w:val="24"/>
                <w:szCs w:val="24"/>
              </w:rPr>
              <w:t>最快开关闸周期：67回合/分；故障自动复位时间：</w:t>
            </w:r>
            <w:r>
              <w:rPr>
                <w:rFonts w:hint="eastAsia" w:ascii="Times New Roman" w:hAnsi="Times New Roman" w:cs="Times New Roman"/>
                <w:kern w:val="0"/>
                <w:sz w:val="24"/>
                <w:szCs w:val="24"/>
                <w:lang w:val="en-US" w:eastAsia="zh-CN"/>
              </w:rPr>
              <w:t>8</w:t>
            </w:r>
            <w:r>
              <w:rPr>
                <w:rFonts w:hint="eastAsia" w:ascii="Times New Roman" w:hAnsi="Times New Roman" w:eastAsia="宋体" w:cs="Times New Roman"/>
                <w:kern w:val="0"/>
                <w:sz w:val="24"/>
                <w:szCs w:val="24"/>
              </w:rPr>
              <w:t>S</w:t>
            </w:r>
            <w:r>
              <w:rPr>
                <w:rFonts w:hint="eastAsia" w:ascii="Times New Roman" w:hAnsi="Times New Roman" w:cs="Times New Roman"/>
                <w:kern w:val="0"/>
                <w:sz w:val="24"/>
                <w:szCs w:val="24"/>
                <w:lang w:eastAsia="zh-CN"/>
              </w:rPr>
              <w:t>。</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③　不少于</w:t>
            </w:r>
            <w:r>
              <w:rPr>
                <w:rFonts w:hint="eastAsia" w:ascii="宋体" w:hAnsi="宋体" w:cs="宋体"/>
                <w:sz w:val="24"/>
                <w:lang w:val="en-US" w:eastAsia="zh-CN"/>
              </w:rPr>
              <w:t>8</w:t>
            </w:r>
            <w:r>
              <w:rPr>
                <w:rFonts w:hint="eastAsia" w:ascii="宋体" w:hAnsi="宋体" w:cs="宋体"/>
                <w:sz w:val="24"/>
                <w:lang w:val="zh-CN"/>
              </w:rPr>
              <w:t>路红外光防尾随电输入；输出控制信号：全为继电器信号输出；无效信号红灯输出；报警喇叭信号输出；开、关时间：不长于0.7秒；故障自动复位时间：不长于10S；机芯工作电压： DC24V。</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④　▲适应温度：-30度～70度；相对湿度：相对湿度≤95%。采用嵌入式温度湿度检测及调节技术，具备恒温防冻调节功能，不凝露。（提供具备该嵌入式温度湿度检测及调节技术的自主知识产权证明文件复印件，并加盖设备厂家公章）</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⑤　应急设置：具备设备常开常闭设置功能，满足应急情况下的开关功能。</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⑥　防夹功能：为了确保就医者的安全通行，人行通道应具备防夹功能，能够对潜在存在的卡夹现象进行感知并响应，</w:t>
            </w:r>
            <w:r>
              <w:rPr>
                <w:rFonts w:hint="eastAsia" w:ascii="Times New Roman" w:hAnsi="Times New Roman" w:eastAsia="宋体" w:cs="Times New Roman"/>
                <w:kern w:val="0"/>
                <w:sz w:val="24"/>
                <w:szCs w:val="24"/>
              </w:rPr>
              <w:t>配备3相（阻尼防夹、电感防夹、红外防夹）防夹感知响应功能</w:t>
            </w:r>
            <w:r>
              <w:rPr>
                <w:rFonts w:hint="eastAsia" w:ascii="Times New Roman" w:hAnsi="Times New Roman" w:cs="Times New Roman"/>
                <w:kern w:val="0"/>
                <w:sz w:val="24"/>
                <w:szCs w:val="24"/>
                <w:lang w:eastAsia="zh-CN"/>
              </w:rPr>
              <w:t>。</w:t>
            </w:r>
            <w:r>
              <w:rPr>
                <w:rFonts w:hint="eastAsia" w:ascii="宋体" w:hAnsi="宋体" w:cs="宋体"/>
                <w:sz w:val="24"/>
                <w:lang w:val="zh-CN"/>
              </w:rPr>
              <w:t>（提供具备该防夹感知及响应控制功能的自主知识产权证明文件复印件，并加盖设备厂家公章）</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⑦　▲为确保通道进行精准开合，降低卡夹所带来的损害，系统可根据运行状况进行电机进行独立控制。（提供具备该电机进行独立控制的自主知识产权证明文件复印件，并加盖设备厂家公章）</w:t>
            </w:r>
          </w:p>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⑧　▲为了避免出现故障造成严重就诊患者拥堵情况，可通过系统重启进行故障自检诊断分析并对可修复故障进行自动修复，使系统快速恢复正常运行状态。（提供具备该故障自检诊断分析及故障修复功能的自主知识产权证明文件复印件，并加盖设备厂家公章）</w:t>
            </w:r>
          </w:p>
          <w:p>
            <w:pPr>
              <w:spacing w:line="360" w:lineRule="auto"/>
              <w:jc w:val="left"/>
              <w:rPr>
                <w:rFonts w:ascii="Times New Roman" w:hAnsi="Times New Roman" w:eastAsia="宋体" w:cs="Times New Roman"/>
                <w:kern w:val="0"/>
                <w:sz w:val="24"/>
                <w:szCs w:val="24"/>
              </w:rPr>
            </w:pPr>
            <w:r>
              <w:rPr>
                <w:rFonts w:hint="eastAsia" w:ascii="宋体" w:hAnsi="宋体" w:cs="宋体"/>
                <w:sz w:val="24"/>
                <w:lang w:val="zh-CN"/>
              </w:rPr>
              <w:t>⑨　单通道具有两套电机动力系统、传动装置及门翼。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195" w:type="dxa"/>
            <w:shd w:val="clear" w:color="auto" w:fill="FFFFFF" w:themeFill="background1"/>
            <w:noWrap/>
          </w:tcPr>
          <w:p>
            <w:pPr>
              <w:spacing w:line="360" w:lineRule="auto"/>
              <w:jc w:val="lef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sym w:font="Wingdings" w:char="00A8"/>
            </w:r>
            <w:r>
              <w:rPr>
                <w:rFonts w:hint="eastAsia" w:ascii="Times New Roman" w:hAnsi="Times New Roman" w:eastAsia="宋体" w:cs="Times New Roman"/>
                <w:kern w:val="0"/>
                <w:sz w:val="24"/>
                <w:szCs w:val="24"/>
              </w:rPr>
              <w:t>嵌入式身份证阅读机具</w:t>
            </w:r>
          </w:p>
        </w:tc>
        <w:tc>
          <w:tcPr>
            <w:tcW w:w="1069" w:type="dxa"/>
            <w:shd w:val="clear" w:color="auto" w:fill="FFFFFF" w:themeFill="background1"/>
            <w:noWrap/>
          </w:tcPr>
          <w:p>
            <w:pPr>
              <w:spacing w:line="360" w:lineRule="auto"/>
              <w:jc w:val="left"/>
              <w:rPr>
                <w:rFonts w:ascii="Times New Roman" w:hAnsi="Times New Roman" w:eastAsia="宋体" w:cs="Times New Roman"/>
                <w:kern w:val="0"/>
                <w:sz w:val="24"/>
                <w:szCs w:val="24"/>
              </w:rPr>
            </w:pPr>
          </w:p>
        </w:tc>
        <w:tc>
          <w:tcPr>
            <w:tcW w:w="6808" w:type="dxa"/>
            <w:shd w:val="clear" w:color="auto" w:fill="FFFFFF" w:themeFill="background1"/>
            <w:noWrap/>
          </w:tcPr>
          <w:p>
            <w:pPr>
              <w:spacing w:line="360" w:lineRule="auto"/>
              <w:jc w:val="lef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① 支持读取身份证内文字信息、人像信息；内置二代证读卡器安全模块，本地解码；符合公安部《GA 450-2013台式居民身份证阅读器通用技术要求》。</w:t>
            </w:r>
          </w:p>
          <w:p>
            <w:pPr>
              <w:spacing w:line="360" w:lineRule="auto"/>
              <w:jc w:val="lef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② 身份证读卡距离&gt;3CM、读卡速度≤1.5秒，带蜂鸣器。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195" w:type="dxa"/>
            <w:shd w:val="clear" w:color="auto" w:fill="FFFFFF" w:themeFill="background1"/>
            <w:noWrap/>
          </w:tcPr>
          <w:p>
            <w:pPr>
              <w:spacing w:line="360" w:lineRule="auto"/>
              <w:jc w:val="left"/>
              <w:rPr>
                <w:rFonts w:hint="eastAsia" w:ascii="Times New Roman" w:hAnsi="Times New Roman" w:eastAsia="宋体" w:cs="Times New Roman"/>
                <w:kern w:val="0"/>
                <w:sz w:val="24"/>
                <w:szCs w:val="24"/>
                <w:lang w:val="zh-CN" w:eastAsia="zh-CN"/>
              </w:rPr>
            </w:pPr>
            <w:r>
              <w:rPr>
                <w:rFonts w:hint="eastAsia" w:ascii="Times New Roman" w:hAnsi="Times New Roman" w:eastAsia="宋体" w:cs="Times New Roman"/>
                <w:kern w:val="0"/>
                <w:sz w:val="24"/>
                <w:szCs w:val="24"/>
                <w:lang w:val="zh-CN" w:eastAsia="zh-CN"/>
              </w:rPr>
              <w:t>天府健康码数据查询及核验接口</w:t>
            </w:r>
          </w:p>
        </w:tc>
        <w:tc>
          <w:tcPr>
            <w:tcW w:w="1069" w:type="dxa"/>
            <w:shd w:val="clear" w:color="auto" w:fill="FFFFFF" w:themeFill="background1"/>
            <w:noWrap/>
          </w:tcPr>
          <w:p>
            <w:pPr>
              <w:spacing w:line="360" w:lineRule="auto"/>
              <w:jc w:val="left"/>
              <w:rPr>
                <w:rFonts w:hint="eastAsia" w:ascii="Times New Roman" w:hAnsi="Times New Roman" w:eastAsia="宋体" w:cs="Times New Roman"/>
                <w:kern w:val="0"/>
                <w:sz w:val="24"/>
                <w:szCs w:val="24"/>
              </w:rPr>
            </w:pPr>
          </w:p>
        </w:tc>
        <w:tc>
          <w:tcPr>
            <w:tcW w:w="6808" w:type="dxa"/>
            <w:shd w:val="clear" w:color="auto" w:fill="FFFFFF" w:themeFill="background1"/>
            <w:noWrap/>
          </w:tcPr>
          <w:p>
            <w:pPr>
              <w:spacing w:line="360" w:lineRule="auto"/>
              <w:jc w:val="left"/>
              <w:rPr>
                <w:rFonts w:hint="eastAsia" w:ascii="Times New Roman" w:hAnsi="Times New Roman" w:eastAsia="宋体" w:cs="Times New Roman"/>
                <w:kern w:val="0"/>
                <w:sz w:val="24"/>
                <w:szCs w:val="24"/>
                <w:lang w:val="zh-CN"/>
              </w:rPr>
            </w:pPr>
            <w:r>
              <w:rPr>
                <w:rFonts w:hint="eastAsia" w:ascii="Times New Roman" w:hAnsi="Times New Roman" w:eastAsia="宋体" w:cs="Times New Roman"/>
                <w:kern w:val="0"/>
                <w:sz w:val="24"/>
                <w:szCs w:val="24"/>
                <w:lang w:val="zh-CN"/>
              </w:rPr>
              <w:t>实现通过刷天府健康码实现天府健康码码色（绿码、黄码、红码）的核验，通过刷身份证实现对天府健康码状态进行查询。</w:t>
            </w:r>
          </w:p>
          <w:p>
            <w:pPr>
              <w:spacing w:line="360" w:lineRule="auto"/>
              <w:jc w:val="left"/>
              <w:rPr>
                <w:rFonts w:hint="eastAsia" w:ascii="Times New Roman" w:hAnsi="Times New Roman"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72" w:hRule="atLeast"/>
        </w:trPr>
        <w:tc>
          <w:tcPr>
            <w:tcW w:w="1195" w:type="dxa"/>
            <w:shd w:val="clear" w:color="auto" w:fill="FFFFFF" w:themeFill="background1"/>
            <w:noWrap/>
          </w:tcPr>
          <w:p>
            <w:pPr>
              <w:pStyle w:val="2"/>
              <w:pageBreakBefore w:val="0"/>
              <w:widowControl w:val="0"/>
              <w:numPr>
                <w:numId w:val="0"/>
              </w:numPr>
              <w:kinsoku/>
              <w:wordWrap/>
              <w:overflowPunct/>
              <w:topLinePunct w:val="0"/>
              <w:bidi w:val="0"/>
              <w:spacing w:line="460" w:lineRule="exact"/>
              <w:textAlignment w:val="auto"/>
              <w:rPr>
                <w:rFonts w:hint="eastAsia" w:ascii="宋体" w:hAnsi="宋体" w:cs="宋体"/>
                <w:sz w:val="24"/>
                <w:lang w:val="zh-CN" w:eastAsia="zh-CN"/>
              </w:rPr>
            </w:pPr>
            <w:r>
              <w:rPr>
                <w:rFonts w:hint="eastAsia" w:ascii="宋体" w:hAnsi="宋体" w:cs="宋体"/>
                <w:sz w:val="24"/>
                <w:lang w:val="zh-CN" w:eastAsia="zh-CN"/>
              </w:rPr>
              <w:t>人脸识别智能引擎软件</w:t>
            </w:r>
          </w:p>
        </w:tc>
        <w:tc>
          <w:tcPr>
            <w:tcW w:w="1069" w:type="dxa"/>
            <w:shd w:val="clear" w:color="auto" w:fill="FFFFFF" w:themeFill="background1"/>
            <w:noWrap/>
          </w:tcPr>
          <w:p>
            <w:pPr>
              <w:spacing w:line="360" w:lineRule="auto"/>
              <w:jc w:val="left"/>
              <w:rPr>
                <w:rFonts w:hint="eastAsia" w:ascii="Times New Roman" w:hAnsi="Times New Roman" w:eastAsia="宋体" w:cs="Times New Roman"/>
                <w:kern w:val="0"/>
                <w:sz w:val="24"/>
                <w:szCs w:val="24"/>
                <w:lang w:eastAsia="zh-CN"/>
              </w:rPr>
            </w:pPr>
            <w:r>
              <w:rPr>
                <w:rFonts w:hint="eastAsia" w:ascii="Times New Roman" w:hAnsi="Times New Roman" w:eastAsia="宋体" w:cs="Times New Roman"/>
                <w:kern w:val="0"/>
                <w:sz w:val="24"/>
                <w:szCs w:val="24"/>
                <w:lang w:eastAsia="zh-CN"/>
              </w:rPr>
              <w:t>人脸机内置</w:t>
            </w:r>
          </w:p>
        </w:tc>
        <w:tc>
          <w:tcPr>
            <w:tcW w:w="6808" w:type="dxa"/>
            <w:shd w:val="clear" w:color="auto" w:fill="FFFFFF" w:themeFill="background1"/>
            <w:noWrap/>
          </w:tcPr>
          <w:p>
            <w:pPr>
              <w:pStyle w:val="2"/>
              <w:pageBreakBefore w:val="0"/>
              <w:widowControl w:val="0"/>
              <w:numPr>
                <w:ilvl w:val="0"/>
                <w:numId w:val="3"/>
              </w:numPr>
              <w:kinsoku/>
              <w:wordWrap/>
              <w:overflowPunct/>
              <w:topLinePunct w:val="0"/>
              <w:bidi w:val="0"/>
              <w:spacing w:line="460" w:lineRule="exact"/>
              <w:textAlignment w:val="auto"/>
              <w:rPr>
                <w:rFonts w:ascii="宋体" w:hAnsi="宋体" w:cs="宋体"/>
                <w:sz w:val="24"/>
                <w:lang w:val="zh-CN"/>
              </w:rPr>
            </w:pPr>
            <w:r>
              <w:rPr>
                <w:rFonts w:hint="eastAsia" w:ascii="宋体" w:hAnsi="宋体" w:cs="宋体"/>
                <w:sz w:val="24"/>
                <w:lang w:val="zh-CN"/>
              </w:rPr>
              <w:t>提供对通行人员进行人脸定位、口罩检测、测温部位检测、身份证人证比对、人脸建模、人脸识别质量判断、人脸品质优化、人脸身份识别等嵌入式功能。</w:t>
            </w:r>
          </w:p>
          <w:p>
            <w:pPr>
              <w:pStyle w:val="2"/>
              <w:pageBreakBefore w:val="0"/>
              <w:widowControl w:val="0"/>
              <w:numPr>
                <w:ilvl w:val="0"/>
                <w:numId w:val="3"/>
              </w:numPr>
              <w:kinsoku/>
              <w:wordWrap/>
              <w:overflowPunct/>
              <w:topLinePunct w:val="0"/>
              <w:bidi w:val="0"/>
              <w:spacing w:line="460" w:lineRule="exact"/>
              <w:textAlignment w:val="auto"/>
              <w:rPr>
                <w:rFonts w:ascii="宋体" w:hAnsi="宋体" w:cs="宋体"/>
                <w:sz w:val="24"/>
                <w:lang w:val="zh-CN"/>
              </w:rPr>
            </w:pPr>
            <w:r>
              <w:rPr>
                <w:rFonts w:hint="eastAsia" w:ascii="宋体" w:hAnsi="宋体" w:cs="宋体"/>
                <w:sz w:val="24"/>
                <w:lang w:val="zh-CN"/>
              </w:rPr>
              <w:t>为提高人脸识别精准度，有效降低误识，人脸身份识别须采用深度学习与智能识别技术。产品厂家提供具备该技术的自主知识产权证明文件复印件，并加盖厂家公章。</w:t>
            </w:r>
          </w:p>
          <w:p>
            <w:pPr>
              <w:pStyle w:val="2"/>
              <w:pageBreakBefore w:val="0"/>
              <w:widowControl w:val="0"/>
              <w:numPr>
                <w:ilvl w:val="0"/>
                <w:numId w:val="3"/>
              </w:numPr>
              <w:kinsoku/>
              <w:wordWrap/>
              <w:overflowPunct/>
              <w:topLinePunct w:val="0"/>
              <w:bidi w:val="0"/>
              <w:spacing w:line="460" w:lineRule="exact"/>
              <w:textAlignment w:val="auto"/>
              <w:rPr>
                <w:rFonts w:hint="eastAsia" w:ascii="Times New Roman" w:hAnsi="Times New Roman" w:eastAsia="宋体" w:cs="Times New Roman"/>
                <w:kern w:val="0"/>
                <w:sz w:val="24"/>
                <w:szCs w:val="24"/>
              </w:rPr>
            </w:pPr>
            <w:r>
              <w:rPr>
                <w:rFonts w:hint="eastAsia" w:ascii="宋体" w:hAnsi="宋体" w:cs="宋体"/>
                <w:sz w:val="24"/>
                <w:lang w:val="zh-CN"/>
              </w:rPr>
              <w:t>▲人脸识别引擎作为人脸定位、口罩检测、测温部位检测、身份证人证比对的基础组件，为了确保引擎软件及数据的安全性，确保人脸识别引擎功能持续不间断使用，引擎软件须为整机设备厂商自主知识产权技术，产品厂家提供具备该引擎软件自主知识产权技术证明文件复印件，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195" w:type="dxa"/>
            <w:shd w:val="clear" w:color="auto" w:fill="FFFFFF" w:themeFill="background1"/>
            <w:noWrap/>
          </w:tcPr>
          <w:p>
            <w:pPr>
              <w:pStyle w:val="2"/>
              <w:pageBreakBefore w:val="0"/>
              <w:widowControl w:val="0"/>
              <w:numPr>
                <w:numId w:val="0"/>
              </w:numPr>
              <w:kinsoku/>
              <w:wordWrap/>
              <w:overflowPunct/>
              <w:topLinePunct w:val="0"/>
              <w:bidi w:val="0"/>
              <w:spacing w:line="460" w:lineRule="exact"/>
              <w:textAlignment w:val="auto"/>
              <w:rPr>
                <w:rFonts w:hint="eastAsia" w:ascii="宋体" w:hAnsi="宋体" w:cs="宋体"/>
                <w:sz w:val="24"/>
                <w:lang w:val="zh-CN" w:eastAsia="zh-CN"/>
              </w:rPr>
            </w:pPr>
            <w:r>
              <w:rPr>
                <w:rFonts w:hint="eastAsia" w:ascii="宋体" w:hAnsi="宋体" w:cs="宋体"/>
                <w:sz w:val="24"/>
                <w:lang w:val="zh-CN" w:eastAsia="zh-CN"/>
              </w:rPr>
              <w:t>数据处理及交换中间件</w:t>
            </w:r>
          </w:p>
        </w:tc>
        <w:tc>
          <w:tcPr>
            <w:tcW w:w="1069" w:type="dxa"/>
            <w:shd w:val="clear" w:color="auto" w:fill="FFFFFF" w:themeFill="background1"/>
            <w:noWrap/>
          </w:tcPr>
          <w:p>
            <w:pPr>
              <w:spacing w:line="360" w:lineRule="auto"/>
              <w:jc w:val="left"/>
              <w:rPr>
                <w:rFonts w:hint="eastAsia" w:ascii="Times New Roman" w:hAnsi="Times New Roman" w:eastAsia="宋体" w:cs="Times New Roman"/>
                <w:kern w:val="0"/>
                <w:sz w:val="24"/>
                <w:szCs w:val="24"/>
                <w:lang w:eastAsia="zh-CN"/>
              </w:rPr>
            </w:pPr>
          </w:p>
        </w:tc>
        <w:tc>
          <w:tcPr>
            <w:tcW w:w="6808" w:type="dxa"/>
            <w:shd w:val="clear" w:color="auto" w:fill="FFFFFF" w:themeFill="background1"/>
            <w:noWrap/>
          </w:tcPr>
          <w:p>
            <w:pPr>
              <w:pageBreakBefore w:val="0"/>
              <w:widowControl w:val="0"/>
              <w:kinsoku/>
              <w:wordWrap/>
              <w:overflowPunct/>
              <w:topLinePunct w:val="0"/>
              <w:autoSpaceDE w:val="0"/>
              <w:autoSpaceDN w:val="0"/>
              <w:bidi w:val="0"/>
              <w:adjustRightInd w:val="0"/>
              <w:spacing w:line="460" w:lineRule="exact"/>
              <w:ind w:firstLine="480" w:firstLineChars="200"/>
              <w:jc w:val="left"/>
              <w:textAlignment w:val="auto"/>
              <w:rPr>
                <w:rFonts w:ascii="宋体" w:hAnsi="宋体" w:cs="宋体"/>
                <w:sz w:val="24"/>
                <w:lang w:val="zh-CN"/>
              </w:rPr>
            </w:pPr>
            <w:r>
              <w:rPr>
                <w:rFonts w:hint="eastAsia" w:ascii="宋体" w:hAnsi="宋体" w:cs="宋体"/>
                <w:sz w:val="24"/>
                <w:lang w:val="zh-CN"/>
              </w:rPr>
              <w:t>进行前端健康码核验设备、人脸识别测温防疫信息健康码核验及数据上传一体化服务组件与省健康码大数据中心进行数据交互、数据调度、数据安全防护、数据合规处理等。</w:t>
            </w:r>
          </w:p>
          <w:p>
            <w:pPr>
              <w:pageBreakBefore w:val="0"/>
              <w:widowControl w:val="0"/>
              <w:kinsoku/>
              <w:wordWrap/>
              <w:overflowPunct/>
              <w:topLinePunct w:val="0"/>
              <w:autoSpaceDE w:val="0"/>
              <w:autoSpaceDN w:val="0"/>
              <w:bidi w:val="0"/>
              <w:adjustRightInd w:val="0"/>
              <w:snapToGrid/>
              <w:spacing w:line="460" w:lineRule="exact"/>
              <w:ind w:firstLine="480" w:firstLineChars="200"/>
              <w:jc w:val="left"/>
              <w:textAlignment w:val="auto"/>
              <w:rPr>
                <w:rFonts w:hint="eastAsia" w:ascii="宋体" w:hAnsi="宋体" w:cs="宋体"/>
                <w:sz w:val="24"/>
                <w:lang w:val="zh-CN"/>
              </w:rPr>
            </w:pPr>
            <w:r>
              <w:rPr>
                <w:rFonts w:hint="eastAsia" w:ascii="宋体" w:hAnsi="宋体" w:cs="宋体"/>
                <w:sz w:val="24"/>
                <w:lang w:val="zh-CN"/>
              </w:rPr>
              <w:t>②　▲为确保数据安全及功能的动态扩展，须提供具备数据处理及交换相关中间件技术的自主知识产权证明文件复印件，并加</w:t>
            </w:r>
            <w:bookmarkStart w:id="0" w:name="_GoBack"/>
            <w:bookmarkEnd w:id="0"/>
            <w:r>
              <w:rPr>
                <w:rFonts w:hint="eastAsia" w:ascii="宋体" w:hAnsi="宋体" w:cs="宋体"/>
                <w:sz w:val="24"/>
                <w:lang w:val="zh-CN"/>
              </w:rPr>
              <w:t>盖厂家公章。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rPr>
        <w:tc>
          <w:tcPr>
            <w:tcW w:w="1195" w:type="dxa"/>
            <w:shd w:val="clear" w:color="auto" w:fill="FFFFFF" w:themeFill="background1"/>
            <w:noWrap/>
          </w:tcPr>
          <w:p>
            <w:pPr>
              <w:spacing w:line="360" w:lineRule="auto"/>
              <w:jc w:val="lef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sym w:font="Wingdings" w:char="00A8"/>
            </w:r>
            <w:r>
              <w:rPr>
                <w:rFonts w:hint="eastAsia" w:ascii="Times New Roman" w:hAnsi="Times New Roman" w:eastAsia="宋体" w:cs="Times New Roman"/>
                <w:kern w:val="0"/>
                <w:sz w:val="24"/>
                <w:szCs w:val="24"/>
              </w:rPr>
              <w:t>通道类设备安装</w:t>
            </w:r>
          </w:p>
        </w:tc>
        <w:tc>
          <w:tcPr>
            <w:tcW w:w="1069" w:type="dxa"/>
            <w:shd w:val="clear" w:color="auto" w:fill="FFFFFF" w:themeFill="background1"/>
            <w:noWrap/>
          </w:tcPr>
          <w:p>
            <w:pPr>
              <w:spacing w:line="360" w:lineRule="auto"/>
              <w:jc w:val="left"/>
              <w:rPr>
                <w:rFonts w:ascii="Times New Roman" w:hAnsi="Times New Roman" w:eastAsia="宋体" w:cs="Times New Roman"/>
                <w:kern w:val="0"/>
                <w:sz w:val="24"/>
                <w:szCs w:val="24"/>
              </w:rPr>
            </w:pPr>
          </w:p>
        </w:tc>
        <w:tc>
          <w:tcPr>
            <w:tcW w:w="6808" w:type="dxa"/>
            <w:shd w:val="clear" w:color="auto" w:fill="FFFFFF" w:themeFill="background1"/>
            <w:noWrap/>
          </w:tcPr>
          <w:p>
            <w:pPr>
              <w:spacing w:line="360" w:lineRule="auto"/>
              <w:jc w:val="left"/>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闸机类设备（含人脸机）安装、调试、部署</w:t>
            </w:r>
          </w:p>
        </w:tc>
      </w:tr>
    </w:tbl>
    <w:p>
      <w:pPr>
        <w:pStyle w:val="3"/>
        <w:rPr>
          <w:rStyle w:val="8"/>
          <w:sz w:val="24"/>
        </w:rPr>
      </w:pPr>
    </w:p>
    <w:p>
      <w:pPr>
        <w:pStyle w:val="3"/>
        <w:rPr>
          <w:rStyle w:val="8"/>
          <w:sz w:val="24"/>
        </w:rPr>
      </w:pPr>
    </w:p>
    <w:p/>
    <w:sectPr>
      <w:pgSz w:w="11906" w:h="16838"/>
      <w:pgMar w:top="1440" w:right="1416" w:bottom="1440" w:left="15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PGothic">
    <w:panose1 w:val="020B0600070205080204"/>
    <w:charset w:val="80"/>
    <w:family w:val="auto"/>
    <w:pitch w:val="default"/>
    <w:sig w:usb0="E00002FF" w:usb1="6AC7FDFB" w:usb2="00000012" w:usb3="00000000" w:csb0="4002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49FF33"/>
    <w:multiLevelType w:val="multilevel"/>
    <w:tmpl w:val="9249FF33"/>
    <w:lvl w:ilvl="0" w:tentative="0">
      <w:start w:val="1"/>
      <w:numFmt w:val="decimalEnclosedCircle"/>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9E5FAB3B"/>
    <w:multiLevelType w:val="singleLevel"/>
    <w:tmpl w:val="9E5FAB3B"/>
    <w:lvl w:ilvl="0" w:tentative="0">
      <w:start w:val="1"/>
      <w:numFmt w:val="decimalEnclosedCircleChinese"/>
      <w:suff w:val="nothing"/>
      <w:lvlText w:val="%1　"/>
      <w:lvlJc w:val="left"/>
      <w:pPr>
        <w:ind w:left="0" w:firstLine="400"/>
      </w:pPr>
      <w:rPr>
        <w:rFonts w:hint="eastAsia"/>
      </w:rPr>
    </w:lvl>
  </w:abstractNum>
  <w:abstractNum w:abstractNumId="2">
    <w:nsid w:val="7F330943"/>
    <w:multiLevelType w:val="multilevel"/>
    <w:tmpl w:val="7F330943"/>
    <w:lvl w:ilvl="0" w:tentative="0">
      <w:start w:val="1"/>
      <w:numFmt w:val="decimalEnclosedCircle"/>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18D3"/>
    <w:rsid w:val="00337195"/>
    <w:rsid w:val="007818D3"/>
    <w:rsid w:val="008011CA"/>
    <w:rsid w:val="008762A8"/>
    <w:rsid w:val="00A24A69"/>
    <w:rsid w:val="0AF90857"/>
    <w:rsid w:val="11891FCA"/>
    <w:rsid w:val="6E5B1B3F"/>
    <w:rsid w:val="76133BA1"/>
    <w:rsid w:val="76EA4C80"/>
    <w:rsid w:val="789436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adjustRightInd w:val="0"/>
      <w:snapToGrid w:val="0"/>
      <w:spacing w:line="360" w:lineRule="auto"/>
      <w:ind w:firstLine="420"/>
    </w:pPr>
    <w:rPr>
      <w:rFonts w:ascii="Times New Roman" w:hAnsi="Times New Roman"/>
    </w:rPr>
  </w:style>
  <w:style w:type="paragraph" w:styleId="3">
    <w:name w:val="Body Text"/>
    <w:basedOn w:val="1"/>
    <w:link w:val="7"/>
    <w:unhideWhenUsed/>
    <w:qFormat/>
    <w:uiPriority w:val="99"/>
    <w:pPr>
      <w:widowControl/>
      <w:spacing w:after="120" w:line="259" w:lineRule="auto"/>
    </w:pPr>
    <w:rPr>
      <w:rFonts w:ascii="Calibri" w:hAnsi="Calibri" w:eastAsia="宋体"/>
      <w:szCs w:val="24"/>
    </w:rPr>
  </w:style>
  <w:style w:type="table" w:styleId="5">
    <w:name w:val="Table Grid"/>
    <w:basedOn w:val="4"/>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正文文本 Char"/>
    <w:basedOn w:val="6"/>
    <w:link w:val="3"/>
    <w:uiPriority w:val="99"/>
    <w:rPr>
      <w:rFonts w:ascii="Calibri" w:hAnsi="Calibri" w:eastAsia="宋体"/>
      <w:szCs w:val="24"/>
    </w:rPr>
  </w:style>
  <w:style w:type="character" w:customStyle="1" w:styleId="8">
    <w:name w:val="NormalCharacter"/>
    <w:semiHidden/>
    <w:qFormat/>
    <w:uiPriority w:val="0"/>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257</Words>
  <Characters>1466</Characters>
  <Lines>12</Lines>
  <Paragraphs>3</Paragraphs>
  <TotalTime>1</TotalTime>
  <ScaleCrop>false</ScaleCrop>
  <LinksUpToDate>false</LinksUpToDate>
  <CharactersWithSpaces>1720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2022-03-25T06:28:00Z</dcterms:created>
  <dc:creator>微软用户</dc:creator>
  <cp:lastModifiedBy>WPS</cp:lastModifiedBy>
  <dcterms:modified xsi:type="dcterms:W3CDTF">2022-03-25T06:53:58Z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C2A0606316EB4836B40D927472BEEFC3</vt:lpwstr>
  </property>
</Properties>
</file>